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58AEA" w14:textId="77777777" w:rsidR="00E57478" w:rsidRDefault="004023DF">
      <w:pPr>
        <w:spacing w:after="100"/>
        <w:jc w:val="center"/>
      </w:pPr>
      <w:r>
        <w:rPr>
          <w:b/>
          <w:bCs/>
          <w:color w:val="F97316"/>
          <w:spacing w:val="20"/>
          <w:sz w:val="20"/>
          <w:szCs w:val="20"/>
        </w:rPr>
        <w:t>GHAYMAH CLOUD</w:t>
      </w:r>
    </w:p>
    <w:p w14:paraId="182EF8C5" w14:textId="77777777" w:rsidR="00E57478" w:rsidRDefault="004023DF">
      <w:pPr>
        <w:bidi/>
        <w:spacing w:after="200"/>
        <w:jc w:val="center"/>
      </w:pPr>
      <w:r>
        <w:rPr>
          <w:b/>
          <w:bCs/>
          <w:color w:val="1F2937"/>
          <w:sz w:val="40"/>
          <w:szCs w:val="40"/>
          <w:rtl/>
        </w:rPr>
        <w:t>خطة الاستجابة والتعافي من هجوم برامج الفدية (</w:t>
      </w:r>
      <w:proofErr w:type="spellStart"/>
      <w:r>
        <w:rPr>
          <w:b/>
          <w:bCs/>
          <w:color w:val="1F2937"/>
          <w:sz w:val="40"/>
          <w:szCs w:val="40"/>
          <w:rtl/>
        </w:rPr>
        <w:t>Ransomware</w:t>
      </w:r>
      <w:proofErr w:type="spellEnd"/>
      <w:r>
        <w:rPr>
          <w:b/>
          <w:bCs/>
          <w:color w:val="1F2937"/>
          <w:sz w:val="40"/>
          <w:szCs w:val="40"/>
          <w:rtl/>
        </w:rPr>
        <w:t>)</w:t>
      </w:r>
    </w:p>
    <w:p w14:paraId="5D0A5529" w14:textId="77777777" w:rsidR="00E57478" w:rsidRDefault="004023DF">
      <w:pPr>
        <w:bidi/>
        <w:spacing w:after="300"/>
        <w:jc w:val="center"/>
      </w:pPr>
      <w:r>
        <w:rPr>
          <w:b/>
          <w:bCs/>
          <w:color w:val="F97316"/>
          <w:sz w:val="26"/>
          <w:szCs w:val="26"/>
          <w:rtl/>
        </w:rPr>
        <w:t>خطة الطوارئ لأول ٦٠ دقيقة</w:t>
      </w:r>
    </w:p>
    <w:p w14:paraId="7071FD8D" w14:textId="77777777" w:rsidR="00E57478" w:rsidRDefault="00E57478">
      <w:pPr>
        <w:pBdr>
          <w:top w:val="single" w:sz="4" w:space="8" w:color="E5E7EB"/>
          <w:bottom w:val="single" w:sz="4" w:space="8" w:color="E5E7EB"/>
        </w:pBdr>
        <w:spacing w:before="200" w:after="200"/>
        <w:jc w:val="center"/>
      </w:pPr>
    </w:p>
    <w:p w14:paraId="60190D7F" w14:textId="77777777" w:rsidR="00E57478" w:rsidRDefault="004023DF">
      <w:pPr>
        <w:bidi/>
        <w:spacing w:after="400"/>
        <w:jc w:val="center"/>
      </w:pPr>
      <w:r>
        <w:rPr>
          <w:b/>
          <w:bCs/>
          <w:sz w:val="22"/>
          <w:szCs w:val="22"/>
          <w:rtl/>
        </w:rPr>
        <w:t xml:space="preserve">السيناريو: جميع ملفات </w:t>
      </w:r>
      <w:proofErr w:type="spellStart"/>
      <w:r>
        <w:rPr>
          <w:b/>
          <w:bCs/>
          <w:sz w:val="22"/>
          <w:szCs w:val="22"/>
          <w:rtl/>
        </w:rPr>
        <w:t>Block</w:t>
      </w:r>
      <w:proofErr w:type="spellEnd"/>
      <w:r>
        <w:rPr>
          <w:b/>
          <w:bCs/>
          <w:sz w:val="22"/>
          <w:szCs w:val="22"/>
          <w:rtl/>
        </w:rPr>
        <w:t xml:space="preserve"> </w:t>
      </w:r>
      <w:proofErr w:type="spellStart"/>
      <w:r>
        <w:rPr>
          <w:b/>
          <w:bCs/>
          <w:sz w:val="22"/>
          <w:szCs w:val="22"/>
          <w:rtl/>
        </w:rPr>
        <w:t>Storage</w:t>
      </w:r>
      <w:proofErr w:type="spellEnd"/>
      <w:r>
        <w:rPr>
          <w:b/>
          <w:bCs/>
          <w:sz w:val="22"/>
          <w:szCs w:val="22"/>
          <w:rtl/>
        </w:rPr>
        <w:t xml:space="preserve"> على منصة </w:t>
      </w:r>
      <w:proofErr w:type="spellStart"/>
      <w:r>
        <w:rPr>
          <w:b/>
          <w:bCs/>
          <w:sz w:val="22"/>
          <w:szCs w:val="22"/>
          <w:rtl/>
        </w:rPr>
        <w:t>Ghaymah</w:t>
      </w:r>
      <w:proofErr w:type="spellEnd"/>
      <w:r>
        <w:rPr>
          <w:b/>
          <w:bCs/>
          <w:sz w:val="22"/>
          <w:szCs w:val="22"/>
          <w:rtl/>
        </w:rPr>
        <w:t xml:space="preserve"> </w:t>
      </w:r>
      <w:proofErr w:type="spellStart"/>
      <w:r>
        <w:rPr>
          <w:b/>
          <w:bCs/>
          <w:sz w:val="22"/>
          <w:szCs w:val="22"/>
          <w:rtl/>
        </w:rPr>
        <w:t>Cloud</w:t>
      </w:r>
      <w:proofErr w:type="spellEnd"/>
      <w:r>
        <w:rPr>
          <w:b/>
          <w:bCs/>
          <w:sz w:val="22"/>
          <w:szCs w:val="22"/>
          <w:rtl/>
        </w:rPr>
        <w:t xml:space="preserve"> تم تشفيرها ورافقها رسالة فدية.</w:t>
      </w:r>
    </w:p>
    <w:p w14:paraId="3C27A3F8" w14:textId="77777777" w:rsidR="00E57478" w:rsidRDefault="004023DF">
      <w:pPr>
        <w:bidi/>
        <w:spacing w:after="60"/>
        <w:jc w:val="center"/>
      </w:pPr>
      <w:r>
        <w:rPr>
          <w:color w:val="6B7280"/>
          <w:sz w:val="20"/>
          <w:szCs w:val="20"/>
          <w:rtl/>
        </w:rPr>
        <w:t xml:space="preserve">إعداد: قسم الأمن السيبراني — </w:t>
      </w:r>
      <w:proofErr w:type="spellStart"/>
      <w:r>
        <w:rPr>
          <w:color w:val="6B7280"/>
          <w:sz w:val="20"/>
          <w:szCs w:val="20"/>
          <w:rtl/>
        </w:rPr>
        <w:t>Ghaymah</w:t>
      </w:r>
      <w:proofErr w:type="spellEnd"/>
      <w:r>
        <w:rPr>
          <w:color w:val="6B7280"/>
          <w:sz w:val="20"/>
          <w:szCs w:val="20"/>
          <w:rtl/>
        </w:rPr>
        <w:t xml:space="preserve"> </w:t>
      </w:r>
      <w:proofErr w:type="spellStart"/>
      <w:r>
        <w:rPr>
          <w:color w:val="6B7280"/>
          <w:sz w:val="20"/>
          <w:szCs w:val="20"/>
          <w:rtl/>
        </w:rPr>
        <w:t>Cloud</w:t>
      </w:r>
      <w:proofErr w:type="spellEnd"/>
    </w:p>
    <w:p w14:paraId="57CA2AF9" w14:textId="77777777" w:rsidR="00E57478" w:rsidRDefault="004023DF">
      <w:pPr>
        <w:bidi/>
        <w:spacing w:after="60"/>
        <w:jc w:val="center"/>
      </w:pPr>
      <w:r>
        <w:rPr>
          <w:color w:val="6B7280"/>
          <w:sz w:val="20"/>
          <w:szCs w:val="20"/>
          <w:rtl/>
        </w:rPr>
        <w:t>التاريخ: ٢٧ يوليو ٢٠٢٦</w:t>
      </w:r>
    </w:p>
    <w:p w14:paraId="01DF700C" w14:textId="77777777" w:rsidR="00E57478" w:rsidRDefault="004023DF">
      <w:pPr>
        <w:bidi/>
        <w:spacing w:after="500"/>
        <w:jc w:val="center"/>
      </w:pPr>
      <w:r>
        <w:rPr>
          <w:i/>
          <w:iCs/>
          <w:color w:val="6B7280"/>
          <w:sz w:val="18"/>
          <w:szCs w:val="18"/>
          <w:rtl/>
        </w:rPr>
        <w:t xml:space="preserve">مبني على: دليل #StopRansomware المشترك بين CISA </w:t>
      </w:r>
      <w:proofErr w:type="spellStart"/>
      <w:r>
        <w:rPr>
          <w:i/>
          <w:iCs/>
          <w:color w:val="6B7280"/>
          <w:sz w:val="18"/>
          <w:szCs w:val="18"/>
          <w:rtl/>
        </w:rPr>
        <w:t>وFBI</w:t>
      </w:r>
      <w:proofErr w:type="spellEnd"/>
      <w:r>
        <w:rPr>
          <w:i/>
          <w:iCs/>
          <w:color w:val="6B7280"/>
          <w:sz w:val="18"/>
          <w:szCs w:val="18"/>
          <w:rtl/>
        </w:rPr>
        <w:t xml:space="preserve"> </w:t>
      </w:r>
      <w:proofErr w:type="spellStart"/>
      <w:r>
        <w:rPr>
          <w:i/>
          <w:iCs/>
          <w:color w:val="6B7280"/>
          <w:sz w:val="18"/>
          <w:szCs w:val="18"/>
          <w:rtl/>
        </w:rPr>
        <w:t>وNSA</w:t>
      </w:r>
      <w:proofErr w:type="spellEnd"/>
      <w:r>
        <w:rPr>
          <w:i/>
          <w:iCs/>
          <w:color w:val="6B7280"/>
          <w:sz w:val="18"/>
          <w:szCs w:val="18"/>
          <w:rtl/>
        </w:rPr>
        <w:t xml:space="preserve"> </w:t>
      </w:r>
      <w:proofErr w:type="spellStart"/>
      <w:r>
        <w:rPr>
          <w:i/>
          <w:iCs/>
          <w:color w:val="6B7280"/>
          <w:sz w:val="18"/>
          <w:szCs w:val="18"/>
          <w:rtl/>
        </w:rPr>
        <w:t>وMS</w:t>
      </w:r>
      <w:proofErr w:type="spellEnd"/>
      <w:r>
        <w:rPr>
          <w:i/>
          <w:iCs/>
          <w:color w:val="6B7280"/>
          <w:sz w:val="18"/>
          <w:szCs w:val="18"/>
          <w:rtl/>
        </w:rPr>
        <w:t>-ISAC (تحديث مايو ٢٠٢٣)</w:t>
      </w:r>
    </w:p>
    <w:p w14:paraId="73DA2AD0" w14:textId="77777777" w:rsidR="00E57478" w:rsidRDefault="004023DF" w:rsidP="007B0AF5">
      <w:pPr>
        <w:pStyle w:val="Heading1"/>
        <w:pBdr>
          <w:bottom w:val="single" w:sz="8" w:space="4" w:color="F97316"/>
        </w:pBdr>
        <w:bidi/>
        <w:spacing w:before="400" w:after="200"/>
      </w:pPr>
      <w:r>
        <w:rPr>
          <w:b/>
          <w:bCs/>
          <w:color w:val="F97316"/>
          <w:sz w:val="30"/>
          <w:szCs w:val="30"/>
          <w:rtl/>
        </w:rPr>
        <w:t>نظرة عامة على السيناريو</w:t>
      </w:r>
    </w:p>
    <w:p w14:paraId="13A95F16" w14:textId="77777777" w:rsidR="00E57478" w:rsidRDefault="004023DF" w:rsidP="007B0AF5">
      <w:pPr>
        <w:bidi/>
        <w:spacing w:after="120"/>
      </w:pPr>
      <w:r>
        <w:rPr>
          <w:rtl/>
        </w:rPr>
        <w:t xml:space="preserve">اكتشف فريق العمليات في </w:t>
      </w:r>
      <w:proofErr w:type="spellStart"/>
      <w:r>
        <w:rPr>
          <w:rtl/>
        </w:rPr>
        <w:t>Ghaymah</w:t>
      </w:r>
      <w:proofErr w:type="spellEnd"/>
      <w:r>
        <w:rPr>
          <w:rtl/>
        </w:rPr>
        <w:t xml:space="preserve"> </w:t>
      </w:r>
      <w:proofErr w:type="spellStart"/>
      <w:r>
        <w:rPr>
          <w:rtl/>
        </w:rPr>
        <w:t>Cloud</w:t>
      </w:r>
      <w:proofErr w:type="spellEnd"/>
      <w:r>
        <w:rPr>
          <w:rtl/>
        </w:rPr>
        <w:t xml:space="preserve"> أن جميع ملفات التخزين الكتلي (</w:t>
      </w:r>
      <w:proofErr w:type="spellStart"/>
      <w:r>
        <w:rPr>
          <w:rtl/>
        </w:rPr>
        <w:t>Block</w:t>
      </w:r>
      <w:proofErr w:type="spellEnd"/>
      <w:r>
        <w:rPr>
          <w:rtl/>
        </w:rPr>
        <w:t xml:space="preserve"> </w:t>
      </w:r>
      <w:proofErr w:type="spellStart"/>
      <w:r>
        <w:rPr>
          <w:rtl/>
        </w:rPr>
        <w:t>Storage</w:t>
      </w:r>
      <w:proofErr w:type="spellEnd"/>
      <w:r>
        <w:rPr>
          <w:rtl/>
        </w:rPr>
        <w:t>) المرتبطة بمجموعة من أحجام الإنتاج قد تم تشفيرها، وظهرت رسالة فدية (</w:t>
      </w:r>
      <w:proofErr w:type="spellStart"/>
      <w:r>
        <w:rPr>
          <w:rtl/>
        </w:rPr>
        <w:t>Ransom</w:t>
      </w:r>
      <w:proofErr w:type="spellEnd"/>
      <w:r>
        <w:rPr>
          <w:rtl/>
        </w:rPr>
        <w:t xml:space="preserve"> </w:t>
      </w:r>
      <w:proofErr w:type="spellStart"/>
      <w:r>
        <w:rPr>
          <w:rtl/>
        </w:rPr>
        <w:t>Note</w:t>
      </w:r>
      <w:proofErr w:type="spellEnd"/>
      <w:r>
        <w:rPr>
          <w:rtl/>
        </w:rPr>
        <w:t>) تطالب بدفع مبلغ مالي مقابل مفتاح فك التشفير. هذه الوثيقة تقدّم خطة استجابة متكاملة مبنية على إطار عمل CISA للاستجابة لحوادث الفدية، وتغطي ثلاثة محاور:</w:t>
      </w:r>
    </w:p>
    <w:p w14:paraId="63B17A39" w14:textId="77777777" w:rsidR="00E57478" w:rsidRDefault="004023DF" w:rsidP="007B0AF5">
      <w:pPr>
        <w:pStyle w:val="ListParagraph"/>
        <w:numPr>
          <w:ilvl w:val="0"/>
          <w:numId w:val="2"/>
        </w:numPr>
        <w:bidi/>
        <w:spacing w:after="80"/>
      </w:pPr>
      <w:r>
        <w:rPr>
          <w:rtl/>
        </w:rPr>
        <w:t>خطة طوارئ تفصيلية لأول ٦٠ دقيقة من اكتشاف الحادث.</w:t>
      </w:r>
    </w:p>
    <w:p w14:paraId="2AAAD57E" w14:textId="77777777" w:rsidR="00E57478" w:rsidRDefault="004023DF" w:rsidP="007B0AF5">
      <w:pPr>
        <w:pStyle w:val="ListParagraph"/>
        <w:numPr>
          <w:ilvl w:val="0"/>
          <w:numId w:val="2"/>
        </w:numPr>
        <w:bidi/>
        <w:spacing w:after="80"/>
      </w:pPr>
      <w:r>
        <w:rPr>
          <w:rtl/>
        </w:rPr>
        <w:t xml:space="preserve">استراتيجية النسخ الاحتياطي والاستعادة في </w:t>
      </w:r>
      <w:proofErr w:type="spellStart"/>
      <w:r>
        <w:rPr>
          <w:rtl/>
        </w:rPr>
        <w:t>Ghaymah</w:t>
      </w:r>
      <w:proofErr w:type="spellEnd"/>
      <w:r>
        <w:rPr>
          <w:rtl/>
        </w:rPr>
        <w:t xml:space="preserve"> اعتمادًا على مفهومي RPO </w:t>
      </w:r>
      <w:proofErr w:type="spellStart"/>
      <w:r>
        <w:rPr>
          <w:rtl/>
        </w:rPr>
        <w:t>وRTO</w:t>
      </w:r>
      <w:proofErr w:type="spellEnd"/>
      <w:r>
        <w:rPr>
          <w:rtl/>
        </w:rPr>
        <w:t xml:space="preserve"> وقاعدة 3-2-1 للنسخ الاحتياطي.</w:t>
      </w:r>
    </w:p>
    <w:p w14:paraId="76CD151E" w14:textId="77777777" w:rsidR="00E57478" w:rsidRDefault="004023DF" w:rsidP="007B0AF5">
      <w:pPr>
        <w:pStyle w:val="ListParagraph"/>
        <w:numPr>
          <w:ilvl w:val="0"/>
          <w:numId w:val="2"/>
        </w:numPr>
        <w:bidi/>
        <w:spacing w:after="80"/>
      </w:pPr>
      <w:r>
        <w:rPr>
          <w:rtl/>
        </w:rPr>
        <w:t>خطة وقاية شاملة لتقليل احتمالية تكرار الهجوم مستقبلًا.</w:t>
      </w:r>
    </w:p>
    <w:p w14:paraId="34B011A4" w14:textId="77777777" w:rsidR="00E57478" w:rsidRDefault="004023DF" w:rsidP="007B0AF5">
      <w:pPr>
        <w:pStyle w:val="Heading1"/>
        <w:pBdr>
          <w:bottom w:val="single" w:sz="8" w:space="4" w:color="F97316"/>
        </w:pBdr>
        <w:bidi/>
        <w:spacing w:before="400" w:after="200"/>
      </w:pPr>
      <w:r>
        <w:rPr>
          <w:b/>
          <w:bCs/>
          <w:color w:val="F97316"/>
          <w:sz w:val="30"/>
          <w:szCs w:val="30"/>
          <w:rtl/>
        </w:rPr>
        <w:t>القسم الأول — خطة الطوارئ: أول ٦٠ دقيقة</w:t>
      </w:r>
    </w:p>
    <w:p w14:paraId="61A1903A" w14:textId="77777777" w:rsidR="00E57478" w:rsidRDefault="004023DF" w:rsidP="007B0AF5">
      <w:pPr>
        <w:bidi/>
        <w:spacing w:after="120"/>
      </w:pPr>
      <w:r>
        <w:rPr>
          <w:rtl/>
        </w:rPr>
        <w:t>تلتزم هذه المرحلة بالخطوات الثلاث الأولى من منهجية CISA (الكشف والتحليل، ثم الإبلاغ والإخطار، ثم بدء الاحتواء)، مع إعطاء الأولوية لعزل الأنظمة المتأثرة بشكل منسّق يتجنب تنبيه المهاجمين، والحفاظ على الأدلة الرقمية قبل اتخاذ أي إجراء قد يفقدها.</w:t>
      </w:r>
    </w:p>
    <w:tbl>
      <w:tblPr>
        <w:tblW w:w="8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5200"/>
        <w:gridCol w:w="2000"/>
      </w:tblGrid>
      <w:tr w:rsidR="00E57478" w14:paraId="5FD202DE" w14:textId="77777777">
        <w:trPr>
          <w:tblHeader/>
        </w:trPr>
        <w:tc>
          <w:tcPr>
            <w:tcW w:w="1400" w:type="dxa"/>
            <w:shd w:val="clear" w:color="auto" w:fill="F97316"/>
            <w:tcMar>
              <w:top w:w="100" w:type="dxa"/>
              <w:left w:w="120" w:type="dxa"/>
              <w:bottom w:w="100" w:type="dxa"/>
              <w:right w:w="120" w:type="dxa"/>
            </w:tcMar>
            <w:vAlign w:val="center"/>
          </w:tcPr>
          <w:p w14:paraId="0E26DE22" w14:textId="77777777" w:rsidR="00E57478" w:rsidRDefault="004023DF">
            <w:pPr>
              <w:bidi/>
              <w:jc w:val="center"/>
            </w:pPr>
            <w:r>
              <w:rPr>
                <w:b/>
                <w:bCs/>
                <w:color w:val="FFFFFF"/>
                <w:sz w:val="20"/>
                <w:szCs w:val="20"/>
                <w:rtl/>
              </w:rPr>
              <w:t>الوقت</w:t>
            </w:r>
          </w:p>
        </w:tc>
        <w:tc>
          <w:tcPr>
            <w:tcW w:w="5200" w:type="dxa"/>
            <w:shd w:val="clear" w:color="auto" w:fill="F97316"/>
            <w:tcMar>
              <w:top w:w="100" w:type="dxa"/>
              <w:left w:w="120" w:type="dxa"/>
              <w:bottom w:w="100" w:type="dxa"/>
              <w:right w:w="120" w:type="dxa"/>
            </w:tcMar>
            <w:vAlign w:val="center"/>
          </w:tcPr>
          <w:p w14:paraId="042488C2" w14:textId="77777777" w:rsidR="00E57478" w:rsidRDefault="004023DF">
            <w:pPr>
              <w:bidi/>
              <w:jc w:val="right"/>
            </w:pPr>
            <w:r>
              <w:rPr>
                <w:b/>
                <w:bCs/>
                <w:color w:val="FFFFFF"/>
                <w:sz w:val="20"/>
                <w:szCs w:val="20"/>
                <w:rtl/>
              </w:rPr>
              <w:t>المرحلة والإجراءات المطلوبة</w:t>
            </w:r>
          </w:p>
        </w:tc>
        <w:tc>
          <w:tcPr>
            <w:tcW w:w="2000" w:type="dxa"/>
            <w:shd w:val="clear" w:color="auto" w:fill="F97316"/>
            <w:tcMar>
              <w:top w:w="100" w:type="dxa"/>
              <w:left w:w="120" w:type="dxa"/>
              <w:bottom w:w="100" w:type="dxa"/>
              <w:right w:w="120" w:type="dxa"/>
            </w:tcMar>
            <w:vAlign w:val="center"/>
          </w:tcPr>
          <w:p w14:paraId="089F3C1E" w14:textId="77777777" w:rsidR="00E57478" w:rsidRDefault="004023DF">
            <w:pPr>
              <w:bidi/>
              <w:jc w:val="center"/>
            </w:pPr>
            <w:r>
              <w:rPr>
                <w:b/>
                <w:bCs/>
                <w:color w:val="FFFFFF"/>
                <w:sz w:val="20"/>
                <w:szCs w:val="20"/>
                <w:rtl/>
              </w:rPr>
              <w:t>الجهة المسؤولة</w:t>
            </w:r>
          </w:p>
        </w:tc>
      </w:tr>
      <w:tr w:rsidR="00E57478" w14:paraId="2B5632AB" w14:textId="77777777">
        <w:tc>
          <w:tcPr>
            <w:tcW w:w="1400" w:type="dxa"/>
            <w:shd w:val="clear" w:color="auto" w:fill="FFFFFF"/>
            <w:tcMar>
              <w:top w:w="100" w:type="dxa"/>
              <w:left w:w="100" w:type="dxa"/>
              <w:bottom w:w="100" w:type="dxa"/>
              <w:right w:w="100" w:type="dxa"/>
            </w:tcMar>
            <w:vAlign w:val="center"/>
          </w:tcPr>
          <w:p w14:paraId="16C4F2CA" w14:textId="77777777" w:rsidR="00E57478" w:rsidRDefault="004023DF">
            <w:pPr>
              <w:jc w:val="center"/>
            </w:pPr>
            <w:r>
              <w:rPr>
                <w:b/>
                <w:bCs/>
                <w:color w:val="F97316"/>
                <w:sz w:val="20"/>
                <w:szCs w:val="20"/>
              </w:rPr>
              <w:t>٠ – ٥ د</w:t>
            </w:r>
          </w:p>
        </w:tc>
        <w:tc>
          <w:tcPr>
            <w:tcW w:w="5200" w:type="dxa"/>
            <w:shd w:val="clear" w:color="auto" w:fill="FFFFFF"/>
            <w:tcMar>
              <w:top w:w="100" w:type="dxa"/>
              <w:left w:w="120" w:type="dxa"/>
              <w:bottom w:w="100" w:type="dxa"/>
              <w:right w:w="120" w:type="dxa"/>
            </w:tcMar>
          </w:tcPr>
          <w:p w14:paraId="1CA2F7B1" w14:textId="77777777" w:rsidR="00E57478" w:rsidRDefault="004023DF">
            <w:pPr>
              <w:bidi/>
              <w:spacing w:after="60"/>
              <w:jc w:val="right"/>
            </w:pPr>
            <w:r>
              <w:rPr>
                <w:b/>
                <w:bCs/>
                <w:color w:val="1F2937"/>
                <w:sz w:val="20"/>
                <w:szCs w:val="20"/>
                <w:rtl/>
              </w:rPr>
              <w:t>التأكيد والتفعيل</w:t>
            </w:r>
          </w:p>
          <w:p w14:paraId="3304FFA4" w14:textId="77777777" w:rsidR="00E57478" w:rsidRDefault="004023DF">
            <w:pPr>
              <w:pStyle w:val="ListParagraph"/>
              <w:numPr>
                <w:ilvl w:val="0"/>
                <w:numId w:val="3"/>
              </w:numPr>
              <w:bidi/>
              <w:spacing w:after="40"/>
              <w:jc w:val="right"/>
            </w:pPr>
            <w:r>
              <w:rPr>
                <w:sz w:val="19"/>
                <w:szCs w:val="19"/>
                <w:rtl/>
              </w:rPr>
              <w:t xml:space="preserve">تأكيد وقوع الحادث: رسالة الفدية، امتدادات ملفات مشفّرة على أحجام </w:t>
            </w:r>
            <w:proofErr w:type="spellStart"/>
            <w:r>
              <w:rPr>
                <w:sz w:val="19"/>
                <w:szCs w:val="19"/>
                <w:rtl/>
              </w:rPr>
              <w:t>Block</w:t>
            </w:r>
            <w:proofErr w:type="spellEnd"/>
            <w:r>
              <w:rPr>
                <w:sz w:val="19"/>
                <w:szCs w:val="19"/>
                <w:rtl/>
              </w:rPr>
              <w:t xml:space="preserve"> </w:t>
            </w:r>
            <w:proofErr w:type="spellStart"/>
            <w:r>
              <w:rPr>
                <w:sz w:val="19"/>
                <w:szCs w:val="19"/>
                <w:rtl/>
              </w:rPr>
              <w:t>Storage</w:t>
            </w:r>
            <w:proofErr w:type="spellEnd"/>
          </w:p>
          <w:p w14:paraId="61D01536" w14:textId="77777777" w:rsidR="00E57478" w:rsidRDefault="004023DF">
            <w:pPr>
              <w:pStyle w:val="ListParagraph"/>
              <w:numPr>
                <w:ilvl w:val="0"/>
                <w:numId w:val="3"/>
              </w:numPr>
              <w:bidi/>
              <w:spacing w:after="40"/>
              <w:jc w:val="right"/>
            </w:pPr>
            <w:r>
              <w:rPr>
                <w:sz w:val="19"/>
                <w:szCs w:val="19"/>
                <w:rtl/>
              </w:rPr>
              <w:t>تفعيل فريق الاستجابة للحوادث (IRT) عبر قناة اتصال خارج النطاق (هاتف/تطبيق منفصل) لتفادي تنبيه المهاجم</w:t>
            </w:r>
          </w:p>
          <w:p w14:paraId="06CAA245" w14:textId="77777777" w:rsidR="00E57478" w:rsidRDefault="004023DF">
            <w:pPr>
              <w:pStyle w:val="ListParagraph"/>
              <w:numPr>
                <w:ilvl w:val="0"/>
                <w:numId w:val="3"/>
              </w:numPr>
              <w:bidi/>
              <w:spacing w:after="40"/>
              <w:jc w:val="right"/>
            </w:pPr>
            <w:r>
              <w:rPr>
                <w:sz w:val="19"/>
                <w:szCs w:val="19"/>
                <w:rtl/>
              </w:rPr>
              <w:t>تعيين قائد للحادث (</w:t>
            </w:r>
            <w:proofErr w:type="spellStart"/>
            <w:r>
              <w:rPr>
                <w:sz w:val="19"/>
                <w:szCs w:val="19"/>
                <w:rtl/>
              </w:rPr>
              <w:t>Incident</w:t>
            </w:r>
            <w:proofErr w:type="spellEnd"/>
            <w:r>
              <w:rPr>
                <w:sz w:val="19"/>
                <w:szCs w:val="19"/>
                <w:rtl/>
              </w:rPr>
              <w:t xml:space="preserve"> </w:t>
            </w:r>
            <w:proofErr w:type="spellStart"/>
            <w:r>
              <w:rPr>
                <w:sz w:val="19"/>
                <w:szCs w:val="19"/>
                <w:rtl/>
              </w:rPr>
              <w:t>Commander</w:t>
            </w:r>
            <w:proofErr w:type="spellEnd"/>
            <w:r>
              <w:rPr>
                <w:sz w:val="19"/>
                <w:szCs w:val="19"/>
                <w:rtl/>
              </w:rPr>
              <w:t>) وفتح سجل زمني موثّق للحادث</w:t>
            </w:r>
          </w:p>
        </w:tc>
        <w:tc>
          <w:tcPr>
            <w:tcW w:w="2000" w:type="dxa"/>
            <w:shd w:val="clear" w:color="auto" w:fill="FFFFFF"/>
            <w:tcMar>
              <w:top w:w="100" w:type="dxa"/>
              <w:left w:w="120" w:type="dxa"/>
              <w:bottom w:w="100" w:type="dxa"/>
              <w:right w:w="120" w:type="dxa"/>
            </w:tcMar>
            <w:vAlign w:val="center"/>
          </w:tcPr>
          <w:p w14:paraId="26BFE8E4" w14:textId="77777777" w:rsidR="00E57478" w:rsidRDefault="004023DF">
            <w:pPr>
              <w:bidi/>
              <w:jc w:val="center"/>
            </w:pPr>
            <w:r>
              <w:rPr>
                <w:color w:val="1F2937"/>
                <w:sz w:val="19"/>
                <w:szCs w:val="19"/>
                <w:rtl/>
              </w:rPr>
              <w:t>قائد الحادث / SOC</w:t>
            </w:r>
          </w:p>
        </w:tc>
      </w:tr>
      <w:tr w:rsidR="00E57478" w14:paraId="03EDD81F" w14:textId="77777777">
        <w:tc>
          <w:tcPr>
            <w:tcW w:w="1400" w:type="dxa"/>
            <w:shd w:val="clear" w:color="auto" w:fill="F3F4F6"/>
            <w:tcMar>
              <w:top w:w="100" w:type="dxa"/>
              <w:left w:w="100" w:type="dxa"/>
              <w:bottom w:w="100" w:type="dxa"/>
              <w:right w:w="100" w:type="dxa"/>
            </w:tcMar>
            <w:vAlign w:val="center"/>
          </w:tcPr>
          <w:p w14:paraId="24E29AAC" w14:textId="77777777" w:rsidR="00E57478" w:rsidRDefault="004023DF">
            <w:pPr>
              <w:jc w:val="center"/>
            </w:pPr>
            <w:r>
              <w:rPr>
                <w:b/>
                <w:bCs/>
                <w:color w:val="F97316"/>
                <w:sz w:val="20"/>
                <w:szCs w:val="20"/>
              </w:rPr>
              <w:t>٥ – ١٥ د</w:t>
            </w:r>
          </w:p>
        </w:tc>
        <w:tc>
          <w:tcPr>
            <w:tcW w:w="5200" w:type="dxa"/>
            <w:shd w:val="clear" w:color="auto" w:fill="F3F4F6"/>
            <w:tcMar>
              <w:top w:w="100" w:type="dxa"/>
              <w:left w:w="120" w:type="dxa"/>
              <w:bottom w:w="100" w:type="dxa"/>
              <w:right w:w="120" w:type="dxa"/>
            </w:tcMar>
          </w:tcPr>
          <w:p w14:paraId="24547614" w14:textId="77777777" w:rsidR="00E57478" w:rsidRDefault="004023DF">
            <w:pPr>
              <w:bidi/>
              <w:spacing w:after="60"/>
              <w:jc w:val="right"/>
            </w:pPr>
            <w:r>
              <w:rPr>
                <w:b/>
                <w:bCs/>
                <w:color w:val="1F2937"/>
                <w:sz w:val="20"/>
                <w:szCs w:val="20"/>
                <w:rtl/>
              </w:rPr>
              <w:t>الاحتواء الفوري</w:t>
            </w:r>
          </w:p>
          <w:p w14:paraId="57429C94" w14:textId="77777777" w:rsidR="00E57478" w:rsidRDefault="004023DF">
            <w:pPr>
              <w:pStyle w:val="ListParagraph"/>
              <w:numPr>
                <w:ilvl w:val="0"/>
                <w:numId w:val="3"/>
              </w:numPr>
              <w:bidi/>
              <w:spacing w:after="40"/>
              <w:jc w:val="right"/>
            </w:pPr>
            <w:r>
              <w:rPr>
                <w:sz w:val="19"/>
                <w:szCs w:val="19"/>
                <w:rtl/>
              </w:rPr>
              <w:t xml:space="preserve">عزل أحجام وأنظمة </w:t>
            </w:r>
            <w:proofErr w:type="spellStart"/>
            <w:r>
              <w:rPr>
                <w:sz w:val="19"/>
                <w:szCs w:val="19"/>
                <w:rtl/>
              </w:rPr>
              <w:t>Block</w:t>
            </w:r>
            <w:proofErr w:type="spellEnd"/>
            <w:r>
              <w:rPr>
                <w:sz w:val="19"/>
                <w:szCs w:val="19"/>
                <w:rtl/>
              </w:rPr>
              <w:t xml:space="preserve"> </w:t>
            </w:r>
            <w:proofErr w:type="spellStart"/>
            <w:r>
              <w:rPr>
                <w:sz w:val="19"/>
                <w:szCs w:val="19"/>
                <w:rtl/>
              </w:rPr>
              <w:t>Storage</w:t>
            </w:r>
            <w:proofErr w:type="spellEnd"/>
            <w:r>
              <w:rPr>
                <w:sz w:val="19"/>
                <w:szCs w:val="19"/>
                <w:rtl/>
              </w:rPr>
              <w:t xml:space="preserve"> المتأثرة على مستوى الشبكة/المفتاح، وليس فصل كل جهاز على حدة</w:t>
            </w:r>
          </w:p>
          <w:p w14:paraId="317DC643" w14:textId="77777777" w:rsidR="00E57478" w:rsidRDefault="004023DF">
            <w:pPr>
              <w:pStyle w:val="ListParagraph"/>
              <w:numPr>
                <w:ilvl w:val="0"/>
                <w:numId w:val="3"/>
              </w:numPr>
              <w:bidi/>
              <w:spacing w:after="40"/>
              <w:jc w:val="right"/>
            </w:pPr>
            <w:r>
              <w:rPr>
                <w:sz w:val="19"/>
                <w:szCs w:val="19"/>
                <w:rtl/>
              </w:rPr>
              <w:t>تعليق مفاتيح API وبيانات اعتماد الحسابات المشبوهة (خاصة حسابات الإدارة)</w:t>
            </w:r>
          </w:p>
          <w:p w14:paraId="412BD2C7" w14:textId="77777777" w:rsidR="00E57478" w:rsidRDefault="004023DF">
            <w:pPr>
              <w:pStyle w:val="ListParagraph"/>
              <w:numPr>
                <w:ilvl w:val="0"/>
                <w:numId w:val="3"/>
              </w:numPr>
              <w:bidi/>
              <w:spacing w:after="40"/>
              <w:jc w:val="right"/>
            </w:pPr>
            <w:r>
              <w:rPr>
                <w:sz w:val="19"/>
                <w:szCs w:val="19"/>
                <w:rtl/>
              </w:rPr>
              <w:t>عدم إيقاف تشغيل الخوادم إلا كخيار أخير (للحفاظ على أدلة الذاكرة المتطايرة)</w:t>
            </w:r>
          </w:p>
        </w:tc>
        <w:tc>
          <w:tcPr>
            <w:tcW w:w="2000" w:type="dxa"/>
            <w:shd w:val="clear" w:color="auto" w:fill="F3F4F6"/>
            <w:tcMar>
              <w:top w:w="100" w:type="dxa"/>
              <w:left w:w="120" w:type="dxa"/>
              <w:bottom w:w="100" w:type="dxa"/>
              <w:right w:w="120" w:type="dxa"/>
            </w:tcMar>
            <w:vAlign w:val="center"/>
          </w:tcPr>
          <w:p w14:paraId="4941FF59" w14:textId="77777777" w:rsidR="00E57478" w:rsidRDefault="004023DF">
            <w:pPr>
              <w:bidi/>
              <w:jc w:val="center"/>
            </w:pPr>
            <w:r>
              <w:rPr>
                <w:color w:val="1F2937"/>
                <w:sz w:val="19"/>
                <w:szCs w:val="19"/>
                <w:rtl/>
              </w:rPr>
              <w:t>فريق العمليات / الأمن</w:t>
            </w:r>
          </w:p>
        </w:tc>
      </w:tr>
      <w:tr w:rsidR="00E57478" w14:paraId="0CA7A8F2" w14:textId="77777777">
        <w:tc>
          <w:tcPr>
            <w:tcW w:w="1400" w:type="dxa"/>
            <w:shd w:val="clear" w:color="auto" w:fill="FFFFFF"/>
            <w:tcMar>
              <w:top w:w="100" w:type="dxa"/>
              <w:left w:w="100" w:type="dxa"/>
              <w:bottom w:w="100" w:type="dxa"/>
              <w:right w:w="100" w:type="dxa"/>
            </w:tcMar>
            <w:vAlign w:val="center"/>
          </w:tcPr>
          <w:p w14:paraId="5688C81F" w14:textId="77777777" w:rsidR="00E57478" w:rsidRDefault="004023DF">
            <w:pPr>
              <w:jc w:val="center"/>
            </w:pPr>
            <w:r>
              <w:rPr>
                <w:b/>
                <w:bCs/>
                <w:color w:val="F97316"/>
                <w:sz w:val="20"/>
                <w:szCs w:val="20"/>
              </w:rPr>
              <w:t>١٥ – ٣٠ د</w:t>
            </w:r>
          </w:p>
        </w:tc>
        <w:tc>
          <w:tcPr>
            <w:tcW w:w="5200" w:type="dxa"/>
            <w:shd w:val="clear" w:color="auto" w:fill="FFFFFF"/>
            <w:tcMar>
              <w:top w:w="100" w:type="dxa"/>
              <w:left w:w="120" w:type="dxa"/>
              <w:bottom w:w="100" w:type="dxa"/>
              <w:right w:w="120" w:type="dxa"/>
            </w:tcMar>
          </w:tcPr>
          <w:p w14:paraId="58722334" w14:textId="77777777" w:rsidR="00E57478" w:rsidRDefault="004023DF">
            <w:pPr>
              <w:bidi/>
              <w:spacing w:after="60"/>
              <w:jc w:val="right"/>
            </w:pPr>
            <w:r>
              <w:rPr>
                <w:b/>
                <w:bCs/>
                <w:color w:val="1F2937"/>
                <w:sz w:val="20"/>
                <w:szCs w:val="20"/>
                <w:rtl/>
              </w:rPr>
              <w:t>حفظ الأدلة والتقييم الأولي</w:t>
            </w:r>
          </w:p>
          <w:p w14:paraId="2DBD68D8" w14:textId="77777777" w:rsidR="00E57478" w:rsidRDefault="004023DF">
            <w:pPr>
              <w:pStyle w:val="ListParagraph"/>
              <w:numPr>
                <w:ilvl w:val="0"/>
                <w:numId w:val="3"/>
              </w:numPr>
              <w:bidi/>
              <w:spacing w:after="40"/>
              <w:jc w:val="right"/>
            </w:pPr>
            <w:r>
              <w:rPr>
                <w:sz w:val="19"/>
                <w:szCs w:val="19"/>
                <w:rtl/>
              </w:rPr>
              <w:t>أخذ لقطات (</w:t>
            </w:r>
            <w:proofErr w:type="spellStart"/>
            <w:r>
              <w:rPr>
                <w:sz w:val="19"/>
                <w:szCs w:val="19"/>
                <w:rtl/>
              </w:rPr>
              <w:t>Snapshots</w:t>
            </w:r>
            <w:proofErr w:type="spellEnd"/>
            <w:r>
              <w:rPr>
                <w:sz w:val="19"/>
                <w:szCs w:val="19"/>
                <w:rtl/>
              </w:rPr>
              <w:t>) فورية للأحجام المتأثرة قبل أي تعديل، لأغراض التحقيق الجنائي</w:t>
            </w:r>
          </w:p>
          <w:p w14:paraId="566BEFF9" w14:textId="77777777" w:rsidR="00E57478" w:rsidRDefault="004023DF">
            <w:pPr>
              <w:pStyle w:val="ListParagraph"/>
              <w:numPr>
                <w:ilvl w:val="0"/>
                <w:numId w:val="3"/>
              </w:numPr>
              <w:bidi/>
              <w:spacing w:after="40"/>
              <w:jc w:val="right"/>
            </w:pPr>
            <w:r>
              <w:rPr>
                <w:sz w:val="19"/>
                <w:szCs w:val="19"/>
                <w:rtl/>
              </w:rPr>
              <w:t>تحديد نطاق الأثر: عدد الأحجام، الحسابات/العملاء المتأثرين إن كانت بيئة متعددة المستأجرين</w:t>
            </w:r>
          </w:p>
          <w:p w14:paraId="05E20491" w14:textId="77777777" w:rsidR="00E57478" w:rsidRDefault="004023DF">
            <w:pPr>
              <w:pStyle w:val="ListParagraph"/>
              <w:numPr>
                <w:ilvl w:val="0"/>
                <w:numId w:val="3"/>
              </w:numPr>
              <w:bidi/>
              <w:spacing w:after="40"/>
              <w:jc w:val="right"/>
            </w:pPr>
            <w:r>
              <w:rPr>
                <w:sz w:val="19"/>
                <w:szCs w:val="19"/>
                <w:rtl/>
              </w:rPr>
              <w:t>تحديد نوع الفدية المحتمل من ملاحظة الفدية وأي مؤشرات اختراق أولية</w:t>
            </w:r>
          </w:p>
        </w:tc>
        <w:tc>
          <w:tcPr>
            <w:tcW w:w="2000" w:type="dxa"/>
            <w:shd w:val="clear" w:color="auto" w:fill="FFFFFF"/>
            <w:tcMar>
              <w:top w:w="100" w:type="dxa"/>
              <w:left w:w="120" w:type="dxa"/>
              <w:bottom w:w="100" w:type="dxa"/>
              <w:right w:w="120" w:type="dxa"/>
            </w:tcMar>
            <w:vAlign w:val="center"/>
          </w:tcPr>
          <w:p w14:paraId="4AD5F1BC" w14:textId="77777777" w:rsidR="00E57478" w:rsidRDefault="004023DF">
            <w:pPr>
              <w:bidi/>
              <w:jc w:val="center"/>
            </w:pPr>
            <w:r>
              <w:rPr>
                <w:color w:val="1F2937"/>
                <w:sz w:val="19"/>
                <w:szCs w:val="19"/>
                <w:rtl/>
              </w:rPr>
              <w:t>فريق الطب الشرعي الرقمي</w:t>
            </w:r>
          </w:p>
        </w:tc>
      </w:tr>
      <w:tr w:rsidR="00E57478" w14:paraId="19689CE7" w14:textId="77777777">
        <w:tc>
          <w:tcPr>
            <w:tcW w:w="1400" w:type="dxa"/>
            <w:shd w:val="clear" w:color="auto" w:fill="F3F4F6"/>
            <w:tcMar>
              <w:top w:w="100" w:type="dxa"/>
              <w:left w:w="100" w:type="dxa"/>
              <w:bottom w:w="100" w:type="dxa"/>
              <w:right w:w="100" w:type="dxa"/>
            </w:tcMar>
            <w:vAlign w:val="center"/>
          </w:tcPr>
          <w:p w14:paraId="1708F1C1" w14:textId="77777777" w:rsidR="00E57478" w:rsidRDefault="004023DF">
            <w:pPr>
              <w:jc w:val="center"/>
            </w:pPr>
            <w:r>
              <w:rPr>
                <w:b/>
                <w:bCs/>
                <w:color w:val="F97316"/>
                <w:sz w:val="20"/>
                <w:szCs w:val="20"/>
              </w:rPr>
              <w:t>٣٠ – ٤٥ د</w:t>
            </w:r>
          </w:p>
        </w:tc>
        <w:tc>
          <w:tcPr>
            <w:tcW w:w="5200" w:type="dxa"/>
            <w:shd w:val="clear" w:color="auto" w:fill="F3F4F6"/>
            <w:tcMar>
              <w:top w:w="100" w:type="dxa"/>
              <w:left w:w="120" w:type="dxa"/>
              <w:bottom w:w="100" w:type="dxa"/>
              <w:right w:w="120" w:type="dxa"/>
            </w:tcMar>
          </w:tcPr>
          <w:p w14:paraId="4D2F4889" w14:textId="77777777" w:rsidR="00E57478" w:rsidRDefault="004023DF">
            <w:pPr>
              <w:bidi/>
              <w:spacing w:after="60"/>
              <w:jc w:val="right"/>
            </w:pPr>
            <w:r>
              <w:rPr>
                <w:b/>
                <w:bCs/>
                <w:color w:val="1F2937"/>
                <w:sz w:val="20"/>
                <w:szCs w:val="20"/>
                <w:rtl/>
              </w:rPr>
              <w:t>الإخطار والتصعيد</w:t>
            </w:r>
          </w:p>
          <w:p w14:paraId="29FE9E4A" w14:textId="77777777" w:rsidR="00E57478" w:rsidRDefault="004023DF">
            <w:pPr>
              <w:pStyle w:val="ListParagraph"/>
              <w:numPr>
                <w:ilvl w:val="0"/>
                <w:numId w:val="3"/>
              </w:numPr>
              <w:bidi/>
              <w:spacing w:after="40"/>
              <w:jc w:val="right"/>
            </w:pPr>
            <w:r>
              <w:rPr>
                <w:sz w:val="19"/>
                <w:szCs w:val="19"/>
                <w:rtl/>
              </w:rPr>
              <w:lastRenderedPageBreak/>
              <w:t>إبلاغ الإدارة العليا وفريق الاتصالات المؤسسي بالوضع</w:t>
            </w:r>
          </w:p>
          <w:p w14:paraId="280B53A7" w14:textId="77777777" w:rsidR="00E57478" w:rsidRDefault="004023DF">
            <w:pPr>
              <w:pStyle w:val="ListParagraph"/>
              <w:numPr>
                <w:ilvl w:val="0"/>
                <w:numId w:val="3"/>
              </w:numPr>
              <w:bidi/>
              <w:spacing w:after="40"/>
              <w:jc w:val="right"/>
            </w:pPr>
            <w:r>
              <w:rPr>
                <w:sz w:val="19"/>
                <w:szCs w:val="19"/>
                <w:rtl/>
              </w:rPr>
              <w:t>إخطار العملاء المتأثرين وفق التزامات SLA إن كانت بياناتهم متأثرة</w:t>
            </w:r>
          </w:p>
          <w:p w14:paraId="5594EE2E" w14:textId="77777777" w:rsidR="00E57478" w:rsidRDefault="004023DF">
            <w:pPr>
              <w:pStyle w:val="ListParagraph"/>
              <w:numPr>
                <w:ilvl w:val="0"/>
                <w:numId w:val="3"/>
              </w:numPr>
              <w:bidi/>
              <w:spacing w:after="40"/>
              <w:jc w:val="right"/>
            </w:pPr>
            <w:r>
              <w:rPr>
                <w:sz w:val="19"/>
                <w:szCs w:val="19"/>
                <w:rtl/>
              </w:rPr>
              <w:t>التواصل الأولي مع CISA/الجهة الوطنية المختصة وجهة التأمين السيبراني إن وجدت</w:t>
            </w:r>
          </w:p>
        </w:tc>
        <w:tc>
          <w:tcPr>
            <w:tcW w:w="2000" w:type="dxa"/>
            <w:shd w:val="clear" w:color="auto" w:fill="F3F4F6"/>
            <w:tcMar>
              <w:top w:w="100" w:type="dxa"/>
              <w:left w:w="120" w:type="dxa"/>
              <w:bottom w:w="100" w:type="dxa"/>
              <w:right w:w="120" w:type="dxa"/>
            </w:tcMar>
            <w:vAlign w:val="center"/>
          </w:tcPr>
          <w:p w14:paraId="4D82439C" w14:textId="77777777" w:rsidR="00E57478" w:rsidRDefault="004023DF">
            <w:pPr>
              <w:bidi/>
              <w:jc w:val="center"/>
            </w:pPr>
            <w:r>
              <w:rPr>
                <w:color w:val="1F2937"/>
                <w:sz w:val="19"/>
                <w:szCs w:val="19"/>
                <w:rtl/>
              </w:rPr>
              <w:lastRenderedPageBreak/>
              <w:t>الإدارة العليا / قانوني</w:t>
            </w:r>
          </w:p>
        </w:tc>
      </w:tr>
      <w:tr w:rsidR="00E57478" w14:paraId="023A3678" w14:textId="77777777">
        <w:tc>
          <w:tcPr>
            <w:tcW w:w="1400" w:type="dxa"/>
            <w:shd w:val="clear" w:color="auto" w:fill="FFFFFF"/>
            <w:tcMar>
              <w:top w:w="100" w:type="dxa"/>
              <w:left w:w="100" w:type="dxa"/>
              <w:bottom w:w="100" w:type="dxa"/>
              <w:right w:w="100" w:type="dxa"/>
            </w:tcMar>
            <w:vAlign w:val="center"/>
          </w:tcPr>
          <w:p w14:paraId="5D580C9A" w14:textId="77777777" w:rsidR="00E57478" w:rsidRDefault="004023DF">
            <w:pPr>
              <w:jc w:val="center"/>
            </w:pPr>
            <w:r>
              <w:rPr>
                <w:b/>
                <w:bCs/>
                <w:color w:val="F97316"/>
                <w:sz w:val="20"/>
                <w:szCs w:val="20"/>
              </w:rPr>
              <w:t>٤٥ – ٦٠ د</w:t>
            </w:r>
          </w:p>
        </w:tc>
        <w:tc>
          <w:tcPr>
            <w:tcW w:w="5200" w:type="dxa"/>
            <w:shd w:val="clear" w:color="auto" w:fill="FFFFFF"/>
            <w:tcMar>
              <w:top w:w="100" w:type="dxa"/>
              <w:left w:w="120" w:type="dxa"/>
              <w:bottom w:w="100" w:type="dxa"/>
              <w:right w:w="120" w:type="dxa"/>
            </w:tcMar>
          </w:tcPr>
          <w:p w14:paraId="15E8631D" w14:textId="77777777" w:rsidR="00E57478" w:rsidRDefault="004023DF">
            <w:pPr>
              <w:bidi/>
              <w:spacing w:after="60"/>
              <w:jc w:val="right"/>
            </w:pPr>
            <w:r>
              <w:rPr>
                <w:b/>
                <w:bCs/>
                <w:color w:val="1F2937"/>
                <w:sz w:val="20"/>
                <w:szCs w:val="20"/>
                <w:rtl/>
              </w:rPr>
              <w:t>القرار والانتقال للمرحلة التالية</w:t>
            </w:r>
          </w:p>
          <w:p w14:paraId="0F2F09FC" w14:textId="77777777" w:rsidR="00E57478" w:rsidRDefault="004023DF">
            <w:pPr>
              <w:pStyle w:val="ListParagraph"/>
              <w:numPr>
                <w:ilvl w:val="0"/>
                <w:numId w:val="3"/>
              </w:numPr>
              <w:bidi/>
              <w:spacing w:after="40"/>
              <w:jc w:val="right"/>
            </w:pPr>
            <w:r>
              <w:rPr>
                <w:sz w:val="19"/>
                <w:szCs w:val="19"/>
                <w:rtl/>
              </w:rPr>
              <w:t>تقييم الحاجة لعزل إضافي على مستوى الشبكة بالكامل</w:t>
            </w:r>
          </w:p>
          <w:p w14:paraId="1A9EAFBD" w14:textId="77777777" w:rsidR="00E57478" w:rsidRDefault="004023DF">
            <w:pPr>
              <w:pStyle w:val="ListParagraph"/>
              <w:numPr>
                <w:ilvl w:val="0"/>
                <w:numId w:val="3"/>
              </w:numPr>
              <w:bidi/>
              <w:spacing w:after="40"/>
              <w:jc w:val="right"/>
            </w:pPr>
            <w:r>
              <w:rPr>
                <w:sz w:val="19"/>
                <w:szCs w:val="19"/>
                <w:rtl/>
              </w:rPr>
              <w:t>بدء تفعيل خطة النسخ الاحتياطي والتعافي (القسم الثاني) لتقييم جاهزية الاستعادة</w:t>
            </w:r>
          </w:p>
          <w:p w14:paraId="54C8990F" w14:textId="77777777" w:rsidR="00E57478" w:rsidRDefault="004023DF">
            <w:pPr>
              <w:pStyle w:val="ListParagraph"/>
              <w:numPr>
                <w:ilvl w:val="0"/>
                <w:numId w:val="3"/>
              </w:numPr>
              <w:bidi/>
              <w:spacing w:after="40"/>
              <w:jc w:val="right"/>
            </w:pPr>
            <w:r>
              <w:rPr>
                <w:sz w:val="19"/>
                <w:szCs w:val="19"/>
                <w:rtl/>
              </w:rPr>
              <w:t>تحديد موعد الاجتماع التالي لفريق الاستجابة (خلال ساعة) وتوثيق كل ما سبق في سجل الحادث</w:t>
            </w:r>
          </w:p>
        </w:tc>
        <w:tc>
          <w:tcPr>
            <w:tcW w:w="2000" w:type="dxa"/>
            <w:shd w:val="clear" w:color="auto" w:fill="FFFFFF"/>
            <w:tcMar>
              <w:top w:w="100" w:type="dxa"/>
              <w:left w:w="120" w:type="dxa"/>
              <w:bottom w:w="100" w:type="dxa"/>
              <w:right w:w="120" w:type="dxa"/>
            </w:tcMar>
            <w:vAlign w:val="center"/>
          </w:tcPr>
          <w:p w14:paraId="2EA4C584" w14:textId="77777777" w:rsidR="00E57478" w:rsidRDefault="004023DF">
            <w:pPr>
              <w:bidi/>
              <w:jc w:val="center"/>
            </w:pPr>
            <w:r>
              <w:rPr>
                <w:color w:val="1F2937"/>
                <w:sz w:val="19"/>
                <w:szCs w:val="19"/>
                <w:rtl/>
              </w:rPr>
              <w:t>قائد الحادث</w:t>
            </w:r>
          </w:p>
        </w:tc>
      </w:tr>
    </w:tbl>
    <w:p w14:paraId="0E484116" w14:textId="77777777" w:rsidR="00E57478" w:rsidRDefault="004023DF" w:rsidP="007B0AF5">
      <w:pPr>
        <w:bidi/>
        <w:spacing w:before="200" w:after="200"/>
        <w:jc w:val="center"/>
      </w:pPr>
      <w:r>
        <w:rPr>
          <w:i/>
          <w:iCs/>
          <w:color w:val="6B7280"/>
          <w:sz w:val="18"/>
          <w:szCs w:val="18"/>
          <w:rtl/>
        </w:rPr>
        <w:t>ملاحظة مهمة: يُفضّل دائمًا عزل الأنظمة عبر الشبكة (مستوى المفتاح/الـ SDN) بدلًا من فصل كل جهاز على حدة، ويجب استخدام قنوات اتصال خارج النطاق (مكالمات هاتفية) بدلًا من البريد الإلكتروني أو الأنظمة الداخلية التي قد يراقبها المهاجم.</w:t>
      </w:r>
    </w:p>
    <w:p w14:paraId="04F591E9" w14:textId="77777777" w:rsidR="00E57478" w:rsidRDefault="004023DF" w:rsidP="007B0AF5">
      <w:pPr>
        <w:pStyle w:val="Heading1"/>
        <w:pBdr>
          <w:bottom w:val="single" w:sz="8" w:space="4" w:color="F97316"/>
        </w:pBdr>
        <w:bidi/>
        <w:spacing w:before="400" w:after="200"/>
      </w:pPr>
      <w:r>
        <w:rPr>
          <w:b/>
          <w:bCs/>
          <w:color w:val="F97316"/>
          <w:sz w:val="30"/>
          <w:szCs w:val="30"/>
          <w:rtl/>
        </w:rPr>
        <w:t xml:space="preserve">القسم الثاني — استراتيجية </w:t>
      </w:r>
      <w:proofErr w:type="spellStart"/>
      <w:r>
        <w:rPr>
          <w:b/>
          <w:bCs/>
          <w:color w:val="F97316"/>
          <w:sz w:val="30"/>
          <w:szCs w:val="30"/>
          <w:rtl/>
        </w:rPr>
        <w:t>Ghaymah</w:t>
      </w:r>
      <w:proofErr w:type="spellEnd"/>
      <w:r>
        <w:rPr>
          <w:b/>
          <w:bCs/>
          <w:color w:val="F97316"/>
          <w:sz w:val="30"/>
          <w:szCs w:val="30"/>
          <w:rtl/>
        </w:rPr>
        <w:t xml:space="preserve"> للنسخ الاحتياطي والاستعادة</w:t>
      </w:r>
    </w:p>
    <w:p w14:paraId="5BEB4281" w14:textId="77777777" w:rsidR="00E57478" w:rsidRDefault="004023DF" w:rsidP="007B0AF5">
      <w:pPr>
        <w:pStyle w:val="Heading2"/>
        <w:bidi/>
        <w:spacing w:before="300" w:after="150"/>
      </w:pPr>
      <w:r>
        <w:rPr>
          <w:b/>
          <w:bCs/>
          <w:color w:val="1F2937"/>
          <w:sz w:val="25"/>
          <w:szCs w:val="25"/>
          <w:rtl/>
        </w:rPr>
        <w:t xml:space="preserve">مفهوما RPO </w:t>
      </w:r>
      <w:proofErr w:type="spellStart"/>
      <w:r>
        <w:rPr>
          <w:b/>
          <w:bCs/>
          <w:color w:val="1F2937"/>
          <w:sz w:val="25"/>
          <w:szCs w:val="25"/>
          <w:rtl/>
        </w:rPr>
        <w:t>وRTO</w:t>
      </w:r>
      <w:proofErr w:type="spellEnd"/>
    </w:p>
    <w:p w14:paraId="6B6324CE" w14:textId="77777777" w:rsidR="00E57478" w:rsidRDefault="004023DF" w:rsidP="007B0AF5">
      <w:pPr>
        <w:bidi/>
        <w:spacing w:after="120"/>
      </w:pPr>
      <w:r>
        <w:rPr>
          <w:rtl/>
        </w:rPr>
        <w:t>RPO (</w:t>
      </w:r>
      <w:proofErr w:type="spellStart"/>
      <w:r>
        <w:rPr>
          <w:rtl/>
        </w:rPr>
        <w:t>Recovery</w:t>
      </w:r>
      <w:proofErr w:type="spellEnd"/>
      <w:r>
        <w:rPr>
          <w:rtl/>
        </w:rPr>
        <w:t xml:space="preserve"> </w:t>
      </w:r>
      <w:proofErr w:type="spellStart"/>
      <w:r>
        <w:rPr>
          <w:rtl/>
        </w:rPr>
        <w:t>Point</w:t>
      </w:r>
      <w:proofErr w:type="spellEnd"/>
      <w:r>
        <w:rPr>
          <w:rtl/>
        </w:rPr>
        <w:t xml:space="preserve"> </w:t>
      </w:r>
      <w:proofErr w:type="spellStart"/>
      <w:r>
        <w:rPr>
          <w:rtl/>
        </w:rPr>
        <w:t>Objective</w:t>
      </w:r>
      <w:proofErr w:type="spellEnd"/>
      <w:r>
        <w:rPr>
          <w:rtl/>
        </w:rPr>
        <w:t>) — نقطة الاستعادة المستهدفة: أقصى فترة زمنية من فقدان البيانات يمكن للمؤسسة تحمّلها، وتحدّد التردد المطلوب لأخذ النسخ الاحتياطية. RTO (</w:t>
      </w:r>
      <w:proofErr w:type="spellStart"/>
      <w:r>
        <w:rPr>
          <w:rtl/>
        </w:rPr>
        <w:t>Recovery</w:t>
      </w:r>
      <w:proofErr w:type="spellEnd"/>
      <w:r>
        <w:rPr>
          <w:rtl/>
        </w:rPr>
        <w:t xml:space="preserve"> </w:t>
      </w:r>
      <w:proofErr w:type="spellStart"/>
      <w:r>
        <w:rPr>
          <w:rtl/>
        </w:rPr>
        <w:t>Time</w:t>
      </w:r>
      <w:proofErr w:type="spellEnd"/>
      <w:r>
        <w:rPr>
          <w:rtl/>
        </w:rPr>
        <w:t xml:space="preserve"> </w:t>
      </w:r>
      <w:proofErr w:type="spellStart"/>
      <w:r>
        <w:rPr>
          <w:rtl/>
        </w:rPr>
        <w:t>Objective</w:t>
      </w:r>
      <w:proofErr w:type="spellEnd"/>
      <w:r>
        <w:rPr>
          <w:rtl/>
        </w:rPr>
        <w:t>) — زمن الاستعادة المستهدف: أقصى وقت مقبول لإعادة تشغيل الخدمة بعد وقوع الحادث.</w:t>
      </w:r>
    </w:p>
    <w:tbl>
      <w:tblPr>
        <w:tblW w:w="8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2200"/>
        <w:gridCol w:w="2200"/>
      </w:tblGrid>
      <w:tr w:rsidR="00E57478" w14:paraId="060A0A40" w14:textId="77777777">
        <w:trPr>
          <w:tblHeader/>
        </w:trPr>
        <w:tc>
          <w:tcPr>
            <w:tcW w:w="4200" w:type="dxa"/>
            <w:shd w:val="clear" w:color="auto" w:fill="F97316"/>
            <w:tcMar>
              <w:top w:w="100" w:type="dxa"/>
              <w:left w:w="120" w:type="dxa"/>
              <w:bottom w:w="100" w:type="dxa"/>
              <w:right w:w="120" w:type="dxa"/>
            </w:tcMar>
            <w:vAlign w:val="center"/>
          </w:tcPr>
          <w:p w14:paraId="5587D9C9" w14:textId="77777777" w:rsidR="00E57478" w:rsidRDefault="004023DF">
            <w:pPr>
              <w:bidi/>
              <w:jc w:val="right"/>
            </w:pPr>
            <w:r>
              <w:rPr>
                <w:b/>
                <w:bCs/>
                <w:color w:val="FFFFFF"/>
                <w:sz w:val="20"/>
                <w:szCs w:val="20"/>
                <w:rtl/>
              </w:rPr>
              <w:t>مستوى الخدمة</w:t>
            </w:r>
          </w:p>
        </w:tc>
        <w:tc>
          <w:tcPr>
            <w:tcW w:w="2200" w:type="dxa"/>
            <w:shd w:val="clear" w:color="auto" w:fill="F97316"/>
            <w:tcMar>
              <w:top w:w="100" w:type="dxa"/>
              <w:left w:w="120" w:type="dxa"/>
              <w:bottom w:w="100" w:type="dxa"/>
              <w:right w:w="120" w:type="dxa"/>
            </w:tcMar>
            <w:vAlign w:val="center"/>
          </w:tcPr>
          <w:p w14:paraId="57BAE409" w14:textId="77777777" w:rsidR="00E57478" w:rsidRDefault="004023DF">
            <w:pPr>
              <w:bidi/>
              <w:jc w:val="center"/>
            </w:pPr>
            <w:r>
              <w:rPr>
                <w:b/>
                <w:bCs/>
                <w:color w:val="FFFFFF"/>
                <w:sz w:val="20"/>
                <w:szCs w:val="20"/>
                <w:rtl/>
              </w:rPr>
              <w:t>RPO المستهدف (الحد الأقصى المقبول لفقدان البيانات)</w:t>
            </w:r>
          </w:p>
        </w:tc>
        <w:tc>
          <w:tcPr>
            <w:tcW w:w="2200" w:type="dxa"/>
            <w:shd w:val="clear" w:color="auto" w:fill="F97316"/>
            <w:tcMar>
              <w:top w:w="100" w:type="dxa"/>
              <w:left w:w="120" w:type="dxa"/>
              <w:bottom w:w="100" w:type="dxa"/>
              <w:right w:w="120" w:type="dxa"/>
            </w:tcMar>
            <w:vAlign w:val="center"/>
          </w:tcPr>
          <w:p w14:paraId="37CB1C50" w14:textId="77777777" w:rsidR="00E57478" w:rsidRDefault="004023DF">
            <w:pPr>
              <w:bidi/>
              <w:jc w:val="center"/>
            </w:pPr>
            <w:r>
              <w:rPr>
                <w:b/>
                <w:bCs/>
                <w:color w:val="FFFFFF"/>
                <w:sz w:val="20"/>
                <w:szCs w:val="20"/>
                <w:rtl/>
              </w:rPr>
              <w:t>RTO المستهدف (الحد الأقصى المقبول لوقت الاستعادة)</w:t>
            </w:r>
          </w:p>
        </w:tc>
      </w:tr>
      <w:tr w:rsidR="00E57478" w14:paraId="179E1074" w14:textId="77777777">
        <w:tc>
          <w:tcPr>
            <w:tcW w:w="4200" w:type="dxa"/>
            <w:shd w:val="clear" w:color="auto" w:fill="FFFFFF"/>
            <w:tcMar>
              <w:top w:w="100" w:type="dxa"/>
              <w:left w:w="120" w:type="dxa"/>
              <w:bottom w:w="100" w:type="dxa"/>
              <w:right w:w="120" w:type="dxa"/>
            </w:tcMar>
            <w:vAlign w:val="center"/>
          </w:tcPr>
          <w:p w14:paraId="4A37DCEA" w14:textId="77777777" w:rsidR="00E57478" w:rsidRDefault="004023DF">
            <w:pPr>
              <w:bidi/>
              <w:jc w:val="right"/>
            </w:pPr>
            <w:r>
              <w:rPr>
                <w:color w:val="1F2937"/>
                <w:sz w:val="20"/>
                <w:szCs w:val="20"/>
                <w:rtl/>
              </w:rPr>
              <w:t>الأنظمة الحرجة (لوحة التحكم / قواعد بيانات الإنتاج)</w:t>
            </w:r>
          </w:p>
        </w:tc>
        <w:tc>
          <w:tcPr>
            <w:tcW w:w="2200" w:type="dxa"/>
            <w:shd w:val="clear" w:color="auto" w:fill="FFFFFF"/>
            <w:tcMar>
              <w:top w:w="100" w:type="dxa"/>
              <w:left w:w="120" w:type="dxa"/>
              <w:bottom w:w="100" w:type="dxa"/>
              <w:right w:w="120" w:type="dxa"/>
            </w:tcMar>
            <w:vAlign w:val="center"/>
          </w:tcPr>
          <w:p w14:paraId="5C22E887" w14:textId="77777777" w:rsidR="00E57478" w:rsidRDefault="004023DF">
            <w:pPr>
              <w:bidi/>
              <w:jc w:val="center"/>
            </w:pPr>
            <w:r>
              <w:rPr>
                <w:color w:val="1F2937"/>
                <w:sz w:val="20"/>
                <w:szCs w:val="20"/>
                <w:rtl/>
              </w:rPr>
              <w:t>≤ ١٥ دقيقة</w:t>
            </w:r>
          </w:p>
        </w:tc>
        <w:tc>
          <w:tcPr>
            <w:tcW w:w="2200" w:type="dxa"/>
            <w:shd w:val="clear" w:color="auto" w:fill="FFFFFF"/>
            <w:tcMar>
              <w:top w:w="100" w:type="dxa"/>
              <w:left w:w="120" w:type="dxa"/>
              <w:bottom w:w="100" w:type="dxa"/>
              <w:right w:w="120" w:type="dxa"/>
            </w:tcMar>
            <w:vAlign w:val="center"/>
          </w:tcPr>
          <w:p w14:paraId="423F75FC" w14:textId="77777777" w:rsidR="00E57478" w:rsidRDefault="004023DF">
            <w:pPr>
              <w:bidi/>
              <w:jc w:val="center"/>
            </w:pPr>
            <w:r>
              <w:rPr>
                <w:color w:val="1F2937"/>
                <w:sz w:val="20"/>
                <w:szCs w:val="20"/>
                <w:rtl/>
              </w:rPr>
              <w:t>≤ ١ ساعة</w:t>
            </w:r>
          </w:p>
        </w:tc>
      </w:tr>
      <w:tr w:rsidR="00E57478" w14:paraId="7BA877E3" w14:textId="77777777">
        <w:tc>
          <w:tcPr>
            <w:tcW w:w="4200" w:type="dxa"/>
            <w:shd w:val="clear" w:color="auto" w:fill="F3F4F6"/>
            <w:tcMar>
              <w:top w:w="100" w:type="dxa"/>
              <w:left w:w="120" w:type="dxa"/>
              <w:bottom w:w="100" w:type="dxa"/>
              <w:right w:w="120" w:type="dxa"/>
            </w:tcMar>
            <w:vAlign w:val="center"/>
          </w:tcPr>
          <w:p w14:paraId="25E9E5B1" w14:textId="77777777" w:rsidR="00E57478" w:rsidRDefault="004023DF">
            <w:pPr>
              <w:bidi/>
              <w:jc w:val="right"/>
            </w:pPr>
            <w:r>
              <w:rPr>
                <w:color w:val="1F2937"/>
                <w:sz w:val="20"/>
                <w:szCs w:val="20"/>
                <w:rtl/>
              </w:rPr>
              <w:t xml:space="preserve">أحجام </w:t>
            </w:r>
            <w:proofErr w:type="spellStart"/>
            <w:r>
              <w:rPr>
                <w:color w:val="1F2937"/>
                <w:sz w:val="20"/>
                <w:szCs w:val="20"/>
                <w:rtl/>
              </w:rPr>
              <w:t>Block</w:t>
            </w:r>
            <w:proofErr w:type="spellEnd"/>
            <w:r>
              <w:rPr>
                <w:color w:val="1F2937"/>
                <w:sz w:val="20"/>
                <w:szCs w:val="20"/>
                <w:rtl/>
              </w:rPr>
              <w:t xml:space="preserve"> </w:t>
            </w:r>
            <w:proofErr w:type="spellStart"/>
            <w:r>
              <w:rPr>
                <w:color w:val="1F2937"/>
                <w:sz w:val="20"/>
                <w:szCs w:val="20"/>
                <w:rtl/>
              </w:rPr>
              <w:t>Storage</w:t>
            </w:r>
            <w:proofErr w:type="spellEnd"/>
            <w:r>
              <w:rPr>
                <w:color w:val="1F2937"/>
                <w:sz w:val="20"/>
                <w:szCs w:val="20"/>
                <w:rtl/>
              </w:rPr>
              <w:t xml:space="preserve"> الخاصة بالعملاء (</w:t>
            </w:r>
            <w:proofErr w:type="spellStart"/>
            <w:r>
              <w:rPr>
                <w:color w:val="1F2937"/>
                <w:sz w:val="20"/>
                <w:szCs w:val="20"/>
                <w:rtl/>
              </w:rPr>
              <w:t>Tier</w:t>
            </w:r>
            <w:proofErr w:type="spellEnd"/>
            <w:r>
              <w:rPr>
                <w:color w:val="1F2937"/>
                <w:sz w:val="20"/>
                <w:szCs w:val="20"/>
                <w:rtl/>
              </w:rPr>
              <w:t xml:space="preserve"> 1)</w:t>
            </w:r>
          </w:p>
        </w:tc>
        <w:tc>
          <w:tcPr>
            <w:tcW w:w="2200" w:type="dxa"/>
            <w:shd w:val="clear" w:color="auto" w:fill="F3F4F6"/>
            <w:tcMar>
              <w:top w:w="100" w:type="dxa"/>
              <w:left w:w="120" w:type="dxa"/>
              <w:bottom w:w="100" w:type="dxa"/>
              <w:right w:w="120" w:type="dxa"/>
            </w:tcMar>
            <w:vAlign w:val="center"/>
          </w:tcPr>
          <w:p w14:paraId="191D8FF2" w14:textId="77777777" w:rsidR="00E57478" w:rsidRDefault="004023DF">
            <w:pPr>
              <w:bidi/>
              <w:jc w:val="center"/>
            </w:pPr>
            <w:r>
              <w:rPr>
                <w:color w:val="1F2937"/>
                <w:sz w:val="20"/>
                <w:szCs w:val="20"/>
                <w:rtl/>
              </w:rPr>
              <w:t>≤ ١ ساعة</w:t>
            </w:r>
          </w:p>
        </w:tc>
        <w:tc>
          <w:tcPr>
            <w:tcW w:w="2200" w:type="dxa"/>
            <w:shd w:val="clear" w:color="auto" w:fill="F3F4F6"/>
            <w:tcMar>
              <w:top w:w="100" w:type="dxa"/>
              <w:left w:w="120" w:type="dxa"/>
              <w:bottom w:w="100" w:type="dxa"/>
              <w:right w:w="120" w:type="dxa"/>
            </w:tcMar>
            <w:vAlign w:val="center"/>
          </w:tcPr>
          <w:p w14:paraId="1E27E5D2" w14:textId="77777777" w:rsidR="00E57478" w:rsidRDefault="004023DF">
            <w:pPr>
              <w:bidi/>
              <w:jc w:val="center"/>
            </w:pPr>
            <w:r>
              <w:rPr>
                <w:color w:val="1F2937"/>
                <w:sz w:val="20"/>
                <w:szCs w:val="20"/>
                <w:rtl/>
              </w:rPr>
              <w:t>≤ ٤ ساعات</w:t>
            </w:r>
          </w:p>
        </w:tc>
      </w:tr>
      <w:tr w:rsidR="00E57478" w14:paraId="0C0B724B" w14:textId="77777777">
        <w:tc>
          <w:tcPr>
            <w:tcW w:w="4200" w:type="dxa"/>
            <w:shd w:val="clear" w:color="auto" w:fill="FFFFFF"/>
            <w:tcMar>
              <w:top w:w="100" w:type="dxa"/>
              <w:left w:w="120" w:type="dxa"/>
              <w:bottom w:w="100" w:type="dxa"/>
              <w:right w:w="120" w:type="dxa"/>
            </w:tcMar>
            <w:vAlign w:val="center"/>
          </w:tcPr>
          <w:p w14:paraId="090C2E10" w14:textId="77777777" w:rsidR="00E57478" w:rsidRDefault="004023DF">
            <w:pPr>
              <w:bidi/>
              <w:jc w:val="right"/>
            </w:pPr>
            <w:r>
              <w:rPr>
                <w:color w:val="1F2937"/>
                <w:sz w:val="20"/>
                <w:szCs w:val="20"/>
                <w:rtl/>
              </w:rPr>
              <w:t>الأنظمة الثانوية وبيئات الاختبار</w:t>
            </w:r>
          </w:p>
        </w:tc>
        <w:tc>
          <w:tcPr>
            <w:tcW w:w="2200" w:type="dxa"/>
            <w:shd w:val="clear" w:color="auto" w:fill="FFFFFF"/>
            <w:tcMar>
              <w:top w:w="100" w:type="dxa"/>
              <w:left w:w="120" w:type="dxa"/>
              <w:bottom w:w="100" w:type="dxa"/>
              <w:right w:w="120" w:type="dxa"/>
            </w:tcMar>
            <w:vAlign w:val="center"/>
          </w:tcPr>
          <w:p w14:paraId="334FD330" w14:textId="77777777" w:rsidR="00E57478" w:rsidRDefault="004023DF">
            <w:pPr>
              <w:bidi/>
              <w:jc w:val="center"/>
            </w:pPr>
            <w:r>
              <w:rPr>
                <w:color w:val="1F2937"/>
                <w:sz w:val="20"/>
                <w:szCs w:val="20"/>
                <w:rtl/>
              </w:rPr>
              <w:t>≤ ٢٤ ساعة</w:t>
            </w:r>
          </w:p>
        </w:tc>
        <w:tc>
          <w:tcPr>
            <w:tcW w:w="2200" w:type="dxa"/>
            <w:shd w:val="clear" w:color="auto" w:fill="FFFFFF"/>
            <w:tcMar>
              <w:top w:w="100" w:type="dxa"/>
              <w:left w:w="120" w:type="dxa"/>
              <w:bottom w:w="100" w:type="dxa"/>
              <w:right w:w="120" w:type="dxa"/>
            </w:tcMar>
            <w:vAlign w:val="center"/>
          </w:tcPr>
          <w:p w14:paraId="186594D5" w14:textId="77777777" w:rsidR="00E57478" w:rsidRDefault="004023DF">
            <w:pPr>
              <w:bidi/>
              <w:jc w:val="center"/>
            </w:pPr>
            <w:r>
              <w:rPr>
                <w:color w:val="1F2937"/>
                <w:sz w:val="20"/>
                <w:szCs w:val="20"/>
                <w:rtl/>
              </w:rPr>
              <w:t>≤ ٢٤ ساعة</w:t>
            </w:r>
          </w:p>
        </w:tc>
      </w:tr>
    </w:tbl>
    <w:p w14:paraId="2E2C6297" w14:textId="77777777" w:rsidR="00E57478" w:rsidRDefault="004023DF" w:rsidP="007B0AF5">
      <w:pPr>
        <w:pStyle w:val="Heading2"/>
        <w:bidi/>
        <w:spacing w:before="300" w:after="150"/>
      </w:pPr>
      <w:r>
        <w:rPr>
          <w:b/>
          <w:bCs/>
          <w:color w:val="1F2937"/>
          <w:sz w:val="25"/>
          <w:szCs w:val="25"/>
          <w:rtl/>
        </w:rPr>
        <w:t>قاعدة النسخ الاحتياطي 3-2-1 (المعروفة أيضًا بقاعدة 1-2-3)</w:t>
      </w:r>
    </w:p>
    <w:p w14:paraId="77CF0F4C" w14:textId="77777777" w:rsidR="00E57478" w:rsidRDefault="004023DF" w:rsidP="007B0AF5">
      <w:pPr>
        <w:bidi/>
        <w:spacing w:after="120"/>
      </w:pPr>
      <w:r>
        <w:rPr>
          <w:rtl/>
        </w:rPr>
        <w:t xml:space="preserve">تعتمد </w:t>
      </w:r>
      <w:proofErr w:type="spellStart"/>
      <w:r>
        <w:rPr>
          <w:rtl/>
        </w:rPr>
        <w:t>Ghaymah</w:t>
      </w:r>
      <w:proofErr w:type="spellEnd"/>
      <w:r>
        <w:rPr>
          <w:rtl/>
        </w:rPr>
        <w:t xml:space="preserve"> على قاعدة النسخ الاحتياطي المعروفة عالميًا باسم 3-2-1، وتُطبَّق على بيانات العملاء على النحو التالي:</w:t>
      </w:r>
    </w:p>
    <w:p w14:paraId="5D8ACBA5" w14:textId="77777777" w:rsidR="00E57478" w:rsidRDefault="004023DF" w:rsidP="007B0AF5">
      <w:pPr>
        <w:pStyle w:val="ListParagraph"/>
        <w:numPr>
          <w:ilvl w:val="0"/>
          <w:numId w:val="2"/>
        </w:numPr>
        <w:bidi/>
        <w:spacing w:after="80"/>
      </w:pPr>
      <w:r>
        <w:rPr>
          <w:rtl/>
        </w:rPr>
        <w:t xml:space="preserve">٣ نسخ على الأقل من البيانات: النسخة الأصلية الحيّة على </w:t>
      </w:r>
      <w:proofErr w:type="spellStart"/>
      <w:r>
        <w:rPr>
          <w:rtl/>
        </w:rPr>
        <w:t>Block</w:t>
      </w:r>
      <w:proofErr w:type="spellEnd"/>
      <w:r>
        <w:rPr>
          <w:rtl/>
        </w:rPr>
        <w:t xml:space="preserve"> </w:t>
      </w:r>
      <w:proofErr w:type="spellStart"/>
      <w:r>
        <w:rPr>
          <w:rtl/>
        </w:rPr>
        <w:t>Storage</w:t>
      </w:r>
      <w:proofErr w:type="spellEnd"/>
      <w:r>
        <w:rPr>
          <w:rtl/>
        </w:rPr>
        <w:t>، بالإضافة إلى نسختين احتياطيتين مستقلتين.</w:t>
      </w:r>
    </w:p>
    <w:p w14:paraId="30B36EA8" w14:textId="77777777" w:rsidR="00E57478" w:rsidRDefault="004023DF" w:rsidP="007B0AF5">
      <w:pPr>
        <w:pStyle w:val="ListParagraph"/>
        <w:numPr>
          <w:ilvl w:val="0"/>
          <w:numId w:val="2"/>
        </w:numPr>
        <w:bidi/>
        <w:spacing w:after="80"/>
      </w:pPr>
      <w:r>
        <w:rPr>
          <w:rtl/>
        </w:rPr>
        <w:t>نسختان على وسيطي تخزين مختلفين: نسخة على شكل لقطات (</w:t>
      </w:r>
      <w:proofErr w:type="spellStart"/>
      <w:r>
        <w:rPr>
          <w:rtl/>
        </w:rPr>
        <w:t>Snapshots</w:t>
      </w:r>
      <w:proofErr w:type="spellEnd"/>
      <w:r>
        <w:rPr>
          <w:rtl/>
        </w:rPr>
        <w:t xml:space="preserve">) دورية ضمن منطقة توفر مختلفة داخل نفس مركز البيانات، ونسخة أخرى على منصة/نظام تخزين مستقل (مثل تخزين كائنات </w:t>
      </w:r>
      <w:proofErr w:type="spellStart"/>
      <w:r>
        <w:rPr>
          <w:rtl/>
        </w:rPr>
        <w:t>Object</w:t>
      </w:r>
      <w:proofErr w:type="spellEnd"/>
      <w:r>
        <w:rPr>
          <w:rtl/>
        </w:rPr>
        <w:t xml:space="preserve"> </w:t>
      </w:r>
      <w:proofErr w:type="spellStart"/>
      <w:r>
        <w:rPr>
          <w:rtl/>
        </w:rPr>
        <w:t>Storage</w:t>
      </w:r>
      <w:proofErr w:type="spellEnd"/>
      <w:r>
        <w:rPr>
          <w:rtl/>
        </w:rPr>
        <w:t xml:space="preserve"> منفصل).</w:t>
      </w:r>
    </w:p>
    <w:p w14:paraId="6EA8E437" w14:textId="77777777" w:rsidR="00E57478" w:rsidRDefault="004023DF" w:rsidP="007B0AF5">
      <w:pPr>
        <w:pStyle w:val="ListParagraph"/>
        <w:numPr>
          <w:ilvl w:val="0"/>
          <w:numId w:val="2"/>
        </w:numPr>
        <w:bidi/>
        <w:spacing w:after="80"/>
      </w:pPr>
      <w:r>
        <w:rPr>
          <w:rtl/>
        </w:rPr>
        <w:t>نسخة واحدة على الأقل خارج الموقع ومعزولة (</w:t>
      </w:r>
      <w:proofErr w:type="spellStart"/>
      <w:r>
        <w:rPr>
          <w:rtl/>
        </w:rPr>
        <w:t>Offsite</w:t>
      </w:r>
      <w:proofErr w:type="spellEnd"/>
      <w:r>
        <w:rPr>
          <w:rtl/>
        </w:rPr>
        <w:t xml:space="preserve"> / </w:t>
      </w:r>
      <w:proofErr w:type="spellStart"/>
      <w:r>
        <w:rPr>
          <w:rtl/>
        </w:rPr>
        <w:t>Immutable</w:t>
      </w:r>
      <w:proofErr w:type="spellEnd"/>
      <w:r>
        <w:rPr>
          <w:rtl/>
        </w:rPr>
        <w:t xml:space="preserve"> / </w:t>
      </w:r>
      <w:proofErr w:type="spellStart"/>
      <w:r>
        <w:rPr>
          <w:rtl/>
        </w:rPr>
        <w:t>Air-gapped</w:t>
      </w:r>
      <w:proofErr w:type="spellEnd"/>
      <w:r>
        <w:rPr>
          <w:rtl/>
        </w:rPr>
        <w:t>): محفوظة في موقع جغرافي منفصل، بصلاحيات وصول وبيانات اعتماد مستقلة تمامًا عن بيئة الإنتاج، وغير قابلة للتعديل أو الحذف (WORM) خلال فترة الاحتفاظ المحددة.</w:t>
      </w:r>
    </w:p>
    <w:p w14:paraId="6048133B" w14:textId="77777777" w:rsidR="00E57478" w:rsidRDefault="004023DF" w:rsidP="007B0AF5">
      <w:pPr>
        <w:bidi/>
        <w:spacing w:after="120"/>
      </w:pPr>
      <w:r>
        <w:rPr>
          <w:rtl/>
        </w:rPr>
        <w:t>النقطة الأهم دفاعيًا: النسخة الاحتياطية المعزولة (غير القابلة للتعديل) هي خط الدفاع الأخير ضد الفدية، لأن العديد من هجمات الفدية الحديثة تستهدف النسخ الاحتياطية المتصلة بالشبكة نفسها لتعطيل إمكانية الاستعادة قبل تفعيل التشفير.</w:t>
      </w:r>
    </w:p>
    <w:p w14:paraId="4816A503" w14:textId="77777777" w:rsidR="00E57478" w:rsidRDefault="004023DF" w:rsidP="007B0AF5">
      <w:pPr>
        <w:pStyle w:val="Heading2"/>
        <w:bidi/>
        <w:spacing w:before="300" w:after="150"/>
      </w:pPr>
      <w:r>
        <w:rPr>
          <w:b/>
          <w:bCs/>
          <w:color w:val="1F2937"/>
          <w:sz w:val="25"/>
          <w:szCs w:val="25"/>
          <w:rtl/>
        </w:rPr>
        <w:t>متطلبات تشغيلية إضافية</w:t>
      </w:r>
    </w:p>
    <w:p w14:paraId="27C5311E" w14:textId="77777777" w:rsidR="00E57478" w:rsidRDefault="004023DF" w:rsidP="007B0AF5">
      <w:pPr>
        <w:pStyle w:val="ListParagraph"/>
        <w:numPr>
          <w:ilvl w:val="0"/>
          <w:numId w:val="2"/>
        </w:numPr>
        <w:bidi/>
        <w:spacing w:after="80"/>
      </w:pPr>
      <w:r>
        <w:rPr>
          <w:rtl/>
        </w:rPr>
        <w:t>اختبار استعادة فعلي (</w:t>
      </w:r>
      <w:proofErr w:type="spellStart"/>
      <w:r>
        <w:rPr>
          <w:rtl/>
        </w:rPr>
        <w:t>Restore</w:t>
      </w:r>
      <w:proofErr w:type="spellEnd"/>
      <w:r>
        <w:rPr>
          <w:rtl/>
        </w:rPr>
        <w:t xml:space="preserve"> </w:t>
      </w:r>
      <w:proofErr w:type="spellStart"/>
      <w:r>
        <w:rPr>
          <w:rtl/>
        </w:rPr>
        <w:t>Drill</w:t>
      </w:r>
      <w:proofErr w:type="spellEnd"/>
      <w:r>
        <w:rPr>
          <w:rtl/>
        </w:rPr>
        <w:t>) للنسخ الاحتياطية بشكل ربع سنوي على الأقل، للتأكد من صلاحيتها الفعلية.</w:t>
      </w:r>
    </w:p>
    <w:p w14:paraId="52FA1B3F" w14:textId="77777777" w:rsidR="00E57478" w:rsidRDefault="004023DF" w:rsidP="007B0AF5">
      <w:pPr>
        <w:pStyle w:val="ListParagraph"/>
        <w:numPr>
          <w:ilvl w:val="0"/>
          <w:numId w:val="2"/>
        </w:numPr>
        <w:bidi/>
        <w:spacing w:after="80"/>
      </w:pPr>
      <w:r>
        <w:rPr>
          <w:rtl/>
        </w:rPr>
        <w:t>تشفير النسخ الاحتياطية أثناء النقل والتخزين، مع إدارة مفاتيح منفصلة عن بيئة الإنتاج.</w:t>
      </w:r>
    </w:p>
    <w:p w14:paraId="5FF42770" w14:textId="77777777" w:rsidR="00E57478" w:rsidRDefault="004023DF" w:rsidP="007B0AF5">
      <w:pPr>
        <w:pStyle w:val="ListParagraph"/>
        <w:numPr>
          <w:ilvl w:val="0"/>
          <w:numId w:val="2"/>
        </w:numPr>
        <w:bidi/>
        <w:spacing w:after="80"/>
      </w:pPr>
      <w:r>
        <w:rPr>
          <w:rtl/>
        </w:rPr>
        <w:t>فصل صلاحيات إدارة النسخ الاحتياطي تمامًا عن صلاحيات إدارة الإنتاج (لا يملك مسؤول الإنتاج صلاحية حذف النسخ الاحتياطية).</w:t>
      </w:r>
    </w:p>
    <w:p w14:paraId="3499CE94" w14:textId="77777777" w:rsidR="00E57478" w:rsidRDefault="004023DF" w:rsidP="007B0AF5">
      <w:pPr>
        <w:pStyle w:val="ListParagraph"/>
        <w:numPr>
          <w:ilvl w:val="0"/>
          <w:numId w:val="2"/>
        </w:numPr>
        <w:bidi/>
        <w:spacing w:after="80"/>
      </w:pPr>
      <w:r>
        <w:rPr>
          <w:rtl/>
        </w:rPr>
        <w:t>الاحتفاظ بسجل نسخ متعدد الإصدارات (</w:t>
      </w:r>
      <w:proofErr w:type="spellStart"/>
      <w:r>
        <w:rPr>
          <w:rtl/>
        </w:rPr>
        <w:t>Versioning</w:t>
      </w:r>
      <w:proofErr w:type="spellEnd"/>
      <w:r>
        <w:rPr>
          <w:rtl/>
        </w:rPr>
        <w:t>) يسمح بالرجوع لنقطة زمنية سابقة على الإصابة.</w:t>
      </w:r>
    </w:p>
    <w:p w14:paraId="0B96C3E8" w14:textId="77777777" w:rsidR="00E57478" w:rsidRDefault="004023DF" w:rsidP="007B0AF5">
      <w:pPr>
        <w:pStyle w:val="Heading1"/>
        <w:pBdr>
          <w:bottom w:val="single" w:sz="8" w:space="4" w:color="F97316"/>
        </w:pBdr>
        <w:bidi/>
        <w:spacing w:before="400" w:after="200"/>
      </w:pPr>
      <w:r>
        <w:rPr>
          <w:b/>
          <w:bCs/>
          <w:color w:val="F97316"/>
          <w:sz w:val="30"/>
          <w:szCs w:val="30"/>
          <w:rtl/>
        </w:rPr>
        <w:t>القسم الثالث — خطة وقاية شاملة لمنع تكرار الهجوم</w:t>
      </w:r>
    </w:p>
    <w:p w14:paraId="31E66157" w14:textId="77777777" w:rsidR="00E57478" w:rsidRDefault="004023DF" w:rsidP="007B0AF5">
      <w:pPr>
        <w:pStyle w:val="Heading2"/>
        <w:bidi/>
        <w:spacing w:before="300" w:after="150"/>
      </w:pPr>
      <w:r>
        <w:rPr>
          <w:b/>
          <w:bCs/>
          <w:color w:val="1F2937"/>
          <w:sz w:val="25"/>
          <w:szCs w:val="25"/>
          <w:rtl/>
        </w:rPr>
        <w:lastRenderedPageBreak/>
        <w:t>١. إدارة الهوية والتحكم في الوصول</w:t>
      </w:r>
    </w:p>
    <w:p w14:paraId="6E311A13" w14:textId="77777777" w:rsidR="00E57478" w:rsidRDefault="004023DF" w:rsidP="007B0AF5">
      <w:pPr>
        <w:pStyle w:val="ListParagraph"/>
        <w:numPr>
          <w:ilvl w:val="0"/>
          <w:numId w:val="2"/>
        </w:numPr>
        <w:bidi/>
        <w:spacing w:after="80"/>
      </w:pPr>
      <w:r>
        <w:rPr>
          <w:rtl/>
        </w:rPr>
        <w:t>تفعيل المصادقة متعددة العوامل (MFA) إلزاميًا لجميع الحسابات الإدارية وواجهات برمجة التطبيقات (API).</w:t>
      </w:r>
    </w:p>
    <w:p w14:paraId="6CC23214" w14:textId="77777777" w:rsidR="00E57478" w:rsidRDefault="004023DF" w:rsidP="007B0AF5">
      <w:pPr>
        <w:pStyle w:val="ListParagraph"/>
        <w:numPr>
          <w:ilvl w:val="0"/>
          <w:numId w:val="2"/>
        </w:numPr>
        <w:bidi/>
        <w:spacing w:after="80"/>
      </w:pPr>
      <w:r>
        <w:rPr>
          <w:rtl/>
        </w:rPr>
        <w:t>تطبيق مبدأ الصلاحية الأقل (</w:t>
      </w:r>
      <w:proofErr w:type="spellStart"/>
      <w:r>
        <w:rPr>
          <w:rtl/>
        </w:rPr>
        <w:t>Least</w:t>
      </w:r>
      <w:proofErr w:type="spellEnd"/>
      <w:r>
        <w:rPr>
          <w:rtl/>
        </w:rPr>
        <w:t xml:space="preserve"> </w:t>
      </w:r>
      <w:proofErr w:type="spellStart"/>
      <w:r>
        <w:rPr>
          <w:rtl/>
        </w:rPr>
        <w:t>Privilege</w:t>
      </w:r>
      <w:proofErr w:type="spellEnd"/>
      <w:r>
        <w:rPr>
          <w:rtl/>
        </w:rPr>
        <w:t>) وفصل المهام الحساسة بين موظفين مختلفين.</w:t>
      </w:r>
    </w:p>
    <w:p w14:paraId="710807BF" w14:textId="77777777" w:rsidR="00E57478" w:rsidRDefault="004023DF" w:rsidP="007B0AF5">
      <w:pPr>
        <w:pStyle w:val="ListParagraph"/>
        <w:numPr>
          <w:ilvl w:val="0"/>
          <w:numId w:val="2"/>
        </w:numPr>
        <w:bidi/>
        <w:spacing w:after="80"/>
      </w:pPr>
      <w:r>
        <w:rPr>
          <w:rtl/>
        </w:rPr>
        <w:t>مراجعة دورية لحسابات المسؤولين (</w:t>
      </w:r>
      <w:proofErr w:type="spellStart"/>
      <w:r>
        <w:rPr>
          <w:rtl/>
        </w:rPr>
        <w:t>Domain</w:t>
      </w:r>
      <w:proofErr w:type="spellEnd"/>
      <w:r>
        <w:rPr>
          <w:rtl/>
        </w:rPr>
        <w:t>/</w:t>
      </w:r>
      <w:proofErr w:type="spellStart"/>
      <w:r>
        <w:rPr>
          <w:rtl/>
        </w:rPr>
        <w:t>Cloud</w:t>
      </w:r>
      <w:proofErr w:type="spellEnd"/>
      <w:r>
        <w:rPr>
          <w:rtl/>
        </w:rPr>
        <w:t xml:space="preserve"> </w:t>
      </w:r>
      <w:proofErr w:type="spellStart"/>
      <w:r>
        <w:rPr>
          <w:rtl/>
        </w:rPr>
        <w:t>Admins</w:t>
      </w:r>
      <w:proofErr w:type="spellEnd"/>
      <w:r>
        <w:rPr>
          <w:rtl/>
        </w:rPr>
        <w:t>) وإزالة الحسابات الخاملة أو غير الضرورية.</w:t>
      </w:r>
    </w:p>
    <w:p w14:paraId="5C1E2C89" w14:textId="77777777" w:rsidR="00E57478" w:rsidRDefault="004023DF" w:rsidP="007B0AF5">
      <w:pPr>
        <w:pStyle w:val="ListParagraph"/>
        <w:numPr>
          <w:ilvl w:val="0"/>
          <w:numId w:val="2"/>
        </w:numPr>
        <w:bidi/>
        <w:spacing w:after="80"/>
      </w:pPr>
      <w:r>
        <w:rPr>
          <w:rtl/>
        </w:rPr>
        <w:t>تدوير مفاتيح API وكلمات المرور وبيانات الاعتماد بشكل دوري ومجدول.</w:t>
      </w:r>
    </w:p>
    <w:p w14:paraId="0C9F713E" w14:textId="77777777" w:rsidR="00E57478" w:rsidRDefault="004023DF" w:rsidP="007B0AF5">
      <w:pPr>
        <w:pStyle w:val="Heading2"/>
        <w:bidi/>
        <w:spacing w:before="300" w:after="150"/>
      </w:pPr>
      <w:r>
        <w:rPr>
          <w:b/>
          <w:bCs/>
          <w:color w:val="1F2937"/>
          <w:sz w:val="25"/>
          <w:szCs w:val="25"/>
          <w:rtl/>
        </w:rPr>
        <w:t>٢. أمن الشبكة والتقسيم</w:t>
      </w:r>
    </w:p>
    <w:p w14:paraId="5BC81975" w14:textId="77777777" w:rsidR="00E57478" w:rsidRDefault="004023DF" w:rsidP="007B0AF5">
      <w:pPr>
        <w:pStyle w:val="ListParagraph"/>
        <w:numPr>
          <w:ilvl w:val="0"/>
          <w:numId w:val="2"/>
        </w:numPr>
        <w:bidi/>
        <w:spacing w:after="80"/>
      </w:pPr>
      <w:r>
        <w:rPr>
          <w:rtl/>
        </w:rPr>
        <w:t>تقسيم الشبكة (</w:t>
      </w:r>
      <w:proofErr w:type="spellStart"/>
      <w:r>
        <w:rPr>
          <w:rtl/>
        </w:rPr>
        <w:t>Network</w:t>
      </w:r>
      <w:proofErr w:type="spellEnd"/>
      <w:r>
        <w:rPr>
          <w:rtl/>
        </w:rPr>
        <w:t xml:space="preserve"> </w:t>
      </w:r>
      <w:proofErr w:type="spellStart"/>
      <w:r>
        <w:rPr>
          <w:rtl/>
        </w:rPr>
        <w:t>Segmentation</w:t>
      </w:r>
      <w:proofErr w:type="spellEnd"/>
      <w:r>
        <w:rPr>
          <w:rtl/>
        </w:rPr>
        <w:t>) بين بيئة إدارة البنية التحتية وبيئة بيانات العملاء.</w:t>
      </w:r>
    </w:p>
    <w:p w14:paraId="268597B7" w14:textId="77777777" w:rsidR="00E57478" w:rsidRDefault="004023DF" w:rsidP="007B0AF5">
      <w:pPr>
        <w:pStyle w:val="ListParagraph"/>
        <w:numPr>
          <w:ilvl w:val="0"/>
          <w:numId w:val="2"/>
        </w:numPr>
        <w:bidi/>
        <w:spacing w:after="80"/>
      </w:pPr>
      <w:r>
        <w:rPr>
          <w:rtl/>
        </w:rPr>
        <w:t xml:space="preserve">عزل واجهات إدارة </w:t>
      </w:r>
      <w:proofErr w:type="spellStart"/>
      <w:r>
        <w:rPr>
          <w:rtl/>
        </w:rPr>
        <w:t>Block</w:t>
      </w:r>
      <w:proofErr w:type="spellEnd"/>
      <w:r>
        <w:rPr>
          <w:rtl/>
        </w:rPr>
        <w:t xml:space="preserve"> </w:t>
      </w:r>
      <w:proofErr w:type="spellStart"/>
      <w:r>
        <w:rPr>
          <w:rtl/>
        </w:rPr>
        <w:t>Storage</w:t>
      </w:r>
      <w:proofErr w:type="spellEnd"/>
      <w:r>
        <w:rPr>
          <w:rtl/>
        </w:rPr>
        <w:t xml:space="preserve"> عن الوصول العام من الإنترنت، والسماح بالوصول فقط عبر VPN أو </w:t>
      </w:r>
      <w:proofErr w:type="spellStart"/>
      <w:r>
        <w:rPr>
          <w:rtl/>
        </w:rPr>
        <w:t>Bastion</w:t>
      </w:r>
      <w:proofErr w:type="spellEnd"/>
      <w:r>
        <w:rPr>
          <w:rtl/>
        </w:rPr>
        <w:t xml:space="preserve"> </w:t>
      </w:r>
      <w:proofErr w:type="spellStart"/>
      <w:r>
        <w:rPr>
          <w:rtl/>
        </w:rPr>
        <w:t>Host</w:t>
      </w:r>
      <w:proofErr w:type="spellEnd"/>
      <w:r>
        <w:rPr>
          <w:rtl/>
        </w:rPr>
        <w:t xml:space="preserve"> مُراقب.</w:t>
      </w:r>
    </w:p>
    <w:p w14:paraId="6E1A04C5" w14:textId="77777777" w:rsidR="00E57478" w:rsidRDefault="004023DF" w:rsidP="007B0AF5">
      <w:pPr>
        <w:pStyle w:val="ListParagraph"/>
        <w:numPr>
          <w:ilvl w:val="0"/>
          <w:numId w:val="2"/>
        </w:numPr>
        <w:bidi/>
        <w:spacing w:after="80"/>
      </w:pPr>
      <w:r>
        <w:rPr>
          <w:rtl/>
        </w:rPr>
        <w:t>تطبيق قواعد جدار حماية صارمة على حركة المرور الداخلية (</w:t>
      </w:r>
      <w:proofErr w:type="spellStart"/>
      <w:r>
        <w:rPr>
          <w:rtl/>
        </w:rPr>
        <w:t>East-West</w:t>
      </w:r>
      <w:proofErr w:type="spellEnd"/>
      <w:r>
        <w:rPr>
          <w:rtl/>
        </w:rPr>
        <w:t>) لمنع الحركة الجانبية للمهاجمين.</w:t>
      </w:r>
    </w:p>
    <w:p w14:paraId="7735E9BB" w14:textId="77777777" w:rsidR="00E57478" w:rsidRDefault="004023DF" w:rsidP="007B0AF5">
      <w:pPr>
        <w:pStyle w:val="Heading2"/>
        <w:bidi/>
        <w:spacing w:before="300" w:after="150"/>
      </w:pPr>
      <w:r>
        <w:rPr>
          <w:b/>
          <w:bCs/>
          <w:color w:val="1F2937"/>
          <w:sz w:val="25"/>
          <w:szCs w:val="25"/>
          <w:rtl/>
        </w:rPr>
        <w:t>٣. الكشف والاستجابة المستمرة</w:t>
      </w:r>
    </w:p>
    <w:p w14:paraId="6A54A7FD" w14:textId="77777777" w:rsidR="00E57478" w:rsidRDefault="004023DF" w:rsidP="007B0AF5">
      <w:pPr>
        <w:pStyle w:val="ListParagraph"/>
        <w:numPr>
          <w:ilvl w:val="0"/>
          <w:numId w:val="2"/>
        </w:numPr>
        <w:bidi/>
        <w:spacing w:after="80"/>
      </w:pPr>
      <w:r>
        <w:rPr>
          <w:rtl/>
        </w:rPr>
        <w:t>نشر حلول الكشف والاستجابة على نقاط النهاية (EDR/XDR) على جميع الخوادم المضيفة.</w:t>
      </w:r>
    </w:p>
    <w:p w14:paraId="4CBD74E5" w14:textId="77777777" w:rsidR="00E57478" w:rsidRDefault="004023DF" w:rsidP="007B0AF5">
      <w:pPr>
        <w:pStyle w:val="ListParagraph"/>
        <w:numPr>
          <w:ilvl w:val="0"/>
          <w:numId w:val="2"/>
        </w:numPr>
        <w:bidi/>
        <w:spacing w:after="80"/>
      </w:pPr>
      <w:r>
        <w:rPr>
          <w:rtl/>
        </w:rPr>
        <w:t xml:space="preserve">مراقبة مركزية عبر نظام SIEM لرصد الأنماط المشبوهة: استخدام غير معتاد لـ </w:t>
      </w:r>
      <w:proofErr w:type="spellStart"/>
      <w:r>
        <w:rPr>
          <w:rtl/>
        </w:rPr>
        <w:t>PowerShell</w:t>
      </w:r>
      <w:proofErr w:type="spellEnd"/>
      <w:r>
        <w:rPr>
          <w:rtl/>
        </w:rPr>
        <w:t xml:space="preserve">، أدوات </w:t>
      </w:r>
      <w:proofErr w:type="spellStart"/>
      <w:r>
        <w:rPr>
          <w:rtl/>
        </w:rPr>
        <w:t>PsTools</w:t>
      </w:r>
      <w:proofErr w:type="spellEnd"/>
      <w:r>
        <w:rPr>
          <w:rtl/>
        </w:rPr>
        <w:t xml:space="preserve">، أو أدوات مثل </w:t>
      </w:r>
      <w:proofErr w:type="spellStart"/>
      <w:r>
        <w:rPr>
          <w:rtl/>
        </w:rPr>
        <w:t>Cobalt</w:t>
      </w:r>
      <w:proofErr w:type="spellEnd"/>
      <w:r>
        <w:rPr>
          <w:rtl/>
        </w:rPr>
        <w:t xml:space="preserve"> </w:t>
      </w:r>
      <w:proofErr w:type="spellStart"/>
      <w:r>
        <w:rPr>
          <w:rtl/>
        </w:rPr>
        <w:t>Strike</w:t>
      </w:r>
      <w:proofErr w:type="spellEnd"/>
      <w:r>
        <w:rPr>
          <w:rtl/>
        </w:rPr>
        <w:t>.</w:t>
      </w:r>
    </w:p>
    <w:p w14:paraId="1B3A42D2" w14:textId="77777777" w:rsidR="00E57478" w:rsidRDefault="004023DF" w:rsidP="007B0AF5">
      <w:pPr>
        <w:pStyle w:val="ListParagraph"/>
        <w:numPr>
          <w:ilvl w:val="0"/>
          <w:numId w:val="2"/>
        </w:numPr>
        <w:bidi/>
        <w:spacing w:after="80"/>
      </w:pPr>
      <w:r>
        <w:rPr>
          <w:rtl/>
        </w:rPr>
        <w:t>تنبيهات آلية فورية عند أي تعديل على صلاحيات الهوية (IAM) الحرجة أو قواعد الشبكة، مع إجراء تلقائي لإبطال التغييرات المشبوهة.</w:t>
      </w:r>
    </w:p>
    <w:p w14:paraId="25222CA9" w14:textId="77777777" w:rsidR="00E57478" w:rsidRDefault="004023DF" w:rsidP="007B0AF5">
      <w:pPr>
        <w:pStyle w:val="Heading2"/>
        <w:bidi/>
        <w:spacing w:before="300" w:after="150"/>
      </w:pPr>
      <w:r>
        <w:rPr>
          <w:b/>
          <w:bCs/>
          <w:color w:val="1F2937"/>
          <w:sz w:val="25"/>
          <w:szCs w:val="25"/>
          <w:rtl/>
        </w:rPr>
        <w:t>٤. حماية النسخ الاحتياطية بشكل خاص</w:t>
      </w:r>
    </w:p>
    <w:p w14:paraId="2B1815FB" w14:textId="77777777" w:rsidR="00E57478" w:rsidRDefault="004023DF" w:rsidP="007B0AF5">
      <w:pPr>
        <w:pStyle w:val="ListParagraph"/>
        <w:numPr>
          <w:ilvl w:val="0"/>
          <w:numId w:val="2"/>
        </w:numPr>
        <w:bidi/>
        <w:spacing w:after="80"/>
      </w:pPr>
      <w:r>
        <w:rPr>
          <w:rtl/>
        </w:rPr>
        <w:t>الإبقاء على نسخة احتياطية واحدة على الأقل غير قابلة للتعديل (</w:t>
      </w:r>
      <w:proofErr w:type="spellStart"/>
      <w:r>
        <w:rPr>
          <w:rtl/>
        </w:rPr>
        <w:t>Immutable</w:t>
      </w:r>
      <w:proofErr w:type="spellEnd"/>
      <w:r>
        <w:rPr>
          <w:rtl/>
        </w:rPr>
        <w:t>) ومعزولة منطقيًا عن بيانات اعتماد الإنتاج.</w:t>
      </w:r>
    </w:p>
    <w:p w14:paraId="560FF5B4" w14:textId="77777777" w:rsidR="00E57478" w:rsidRDefault="004023DF" w:rsidP="007B0AF5">
      <w:pPr>
        <w:pStyle w:val="ListParagraph"/>
        <w:numPr>
          <w:ilvl w:val="0"/>
          <w:numId w:val="2"/>
        </w:numPr>
        <w:bidi/>
        <w:spacing w:after="80"/>
      </w:pPr>
      <w:r>
        <w:rPr>
          <w:rtl/>
        </w:rPr>
        <w:t>اختبار استعادة دوري موثّق لضمان جاهزية النسخ الاحتياطية عمليًا وليس نظريًا فقط.</w:t>
      </w:r>
    </w:p>
    <w:p w14:paraId="3D51EB15" w14:textId="77777777" w:rsidR="00E57478" w:rsidRDefault="004023DF" w:rsidP="007B0AF5">
      <w:pPr>
        <w:pStyle w:val="Heading2"/>
        <w:bidi/>
        <w:spacing w:before="300" w:after="150"/>
      </w:pPr>
      <w:r>
        <w:rPr>
          <w:b/>
          <w:bCs/>
          <w:color w:val="1F2937"/>
          <w:sz w:val="25"/>
          <w:szCs w:val="25"/>
          <w:rtl/>
        </w:rPr>
        <w:t>٥. إدارة الثغرات والتصحيحات</w:t>
      </w:r>
    </w:p>
    <w:p w14:paraId="0AB465AA" w14:textId="77777777" w:rsidR="00E57478" w:rsidRDefault="004023DF" w:rsidP="007B0AF5">
      <w:pPr>
        <w:pStyle w:val="ListParagraph"/>
        <w:numPr>
          <w:ilvl w:val="0"/>
          <w:numId w:val="2"/>
        </w:numPr>
        <w:bidi/>
        <w:spacing w:after="80"/>
      </w:pPr>
      <w:r>
        <w:rPr>
          <w:rtl/>
        </w:rPr>
        <w:t>برنامج تصحيحات (</w:t>
      </w:r>
      <w:proofErr w:type="spellStart"/>
      <w:r>
        <w:rPr>
          <w:rtl/>
        </w:rPr>
        <w:t>Patch</w:t>
      </w:r>
      <w:proofErr w:type="spellEnd"/>
      <w:r>
        <w:rPr>
          <w:rtl/>
        </w:rPr>
        <w:t xml:space="preserve"> </w:t>
      </w:r>
      <w:proofErr w:type="spellStart"/>
      <w:r>
        <w:rPr>
          <w:rtl/>
        </w:rPr>
        <w:t>Management</w:t>
      </w:r>
      <w:proofErr w:type="spellEnd"/>
      <w:r>
        <w:rPr>
          <w:rtl/>
        </w:rPr>
        <w:t xml:space="preserve">) منتظم لأنظمة التشغيل والـ </w:t>
      </w:r>
      <w:proofErr w:type="spellStart"/>
      <w:r>
        <w:rPr>
          <w:rtl/>
        </w:rPr>
        <w:t>Hypervisors</w:t>
      </w:r>
      <w:proofErr w:type="spellEnd"/>
      <w:r>
        <w:rPr>
          <w:rtl/>
        </w:rPr>
        <w:t xml:space="preserve"> وطبقة تخزين البيانات.</w:t>
      </w:r>
    </w:p>
    <w:p w14:paraId="45ACE6DA" w14:textId="77777777" w:rsidR="00E57478" w:rsidRDefault="004023DF" w:rsidP="007B0AF5">
      <w:pPr>
        <w:pStyle w:val="ListParagraph"/>
        <w:numPr>
          <w:ilvl w:val="0"/>
          <w:numId w:val="2"/>
        </w:numPr>
        <w:bidi/>
        <w:spacing w:after="80"/>
      </w:pPr>
      <w:r>
        <w:rPr>
          <w:rtl/>
        </w:rPr>
        <w:t>فحوصات دورية للثغرات (</w:t>
      </w:r>
      <w:proofErr w:type="spellStart"/>
      <w:r>
        <w:rPr>
          <w:rtl/>
        </w:rPr>
        <w:t>Vulnerability</w:t>
      </w:r>
      <w:proofErr w:type="spellEnd"/>
      <w:r>
        <w:rPr>
          <w:rtl/>
        </w:rPr>
        <w:t xml:space="preserve"> </w:t>
      </w:r>
      <w:proofErr w:type="spellStart"/>
      <w:r>
        <w:rPr>
          <w:rtl/>
        </w:rPr>
        <w:t>Scanning</w:t>
      </w:r>
      <w:proofErr w:type="spellEnd"/>
      <w:r>
        <w:rPr>
          <w:rtl/>
        </w:rPr>
        <w:t>) واختبارات اختراق (</w:t>
      </w:r>
      <w:proofErr w:type="spellStart"/>
      <w:r>
        <w:rPr>
          <w:rtl/>
        </w:rPr>
        <w:t>Penetration</w:t>
      </w:r>
      <w:proofErr w:type="spellEnd"/>
      <w:r>
        <w:rPr>
          <w:rtl/>
        </w:rPr>
        <w:t xml:space="preserve"> </w:t>
      </w:r>
      <w:proofErr w:type="spellStart"/>
      <w:r>
        <w:rPr>
          <w:rtl/>
        </w:rPr>
        <w:t>Testing</w:t>
      </w:r>
      <w:proofErr w:type="spellEnd"/>
      <w:r>
        <w:rPr>
          <w:rtl/>
        </w:rPr>
        <w:t>) مجدولة.</w:t>
      </w:r>
    </w:p>
    <w:p w14:paraId="15210699" w14:textId="77777777" w:rsidR="00E57478" w:rsidRDefault="004023DF" w:rsidP="007B0AF5">
      <w:pPr>
        <w:pStyle w:val="Heading2"/>
        <w:bidi/>
        <w:spacing w:before="300" w:after="150"/>
      </w:pPr>
      <w:r>
        <w:rPr>
          <w:b/>
          <w:bCs/>
          <w:color w:val="1F2937"/>
          <w:sz w:val="25"/>
          <w:szCs w:val="25"/>
          <w:rtl/>
        </w:rPr>
        <w:t>٦. الوعي البشري والتدريب</w:t>
      </w:r>
    </w:p>
    <w:p w14:paraId="2F06E769" w14:textId="77777777" w:rsidR="00E57478" w:rsidRDefault="004023DF" w:rsidP="007B0AF5">
      <w:pPr>
        <w:pStyle w:val="ListParagraph"/>
        <w:numPr>
          <w:ilvl w:val="0"/>
          <w:numId w:val="2"/>
        </w:numPr>
        <w:bidi/>
        <w:spacing w:after="80"/>
      </w:pPr>
      <w:r>
        <w:rPr>
          <w:rtl/>
        </w:rPr>
        <w:t>تدريب الموظفين بشكل دوري على التعرف على رسائل التصيّد الاحتيالي (</w:t>
      </w:r>
      <w:proofErr w:type="spellStart"/>
      <w:r>
        <w:rPr>
          <w:rtl/>
        </w:rPr>
        <w:t>Phishing</w:t>
      </w:r>
      <w:proofErr w:type="spellEnd"/>
      <w:r>
        <w:rPr>
          <w:rtl/>
        </w:rPr>
        <w:t>) وأساليب الهندسة الاجتماعية.</w:t>
      </w:r>
    </w:p>
    <w:p w14:paraId="36E87A17" w14:textId="77777777" w:rsidR="00E57478" w:rsidRDefault="004023DF" w:rsidP="007B0AF5">
      <w:pPr>
        <w:pStyle w:val="ListParagraph"/>
        <w:numPr>
          <w:ilvl w:val="0"/>
          <w:numId w:val="2"/>
        </w:numPr>
        <w:bidi/>
        <w:spacing w:after="80"/>
      </w:pPr>
      <w:r>
        <w:rPr>
          <w:rtl/>
        </w:rPr>
        <w:t>إجراء تدريبات محاكاة (</w:t>
      </w:r>
      <w:proofErr w:type="spellStart"/>
      <w:r>
        <w:rPr>
          <w:rtl/>
        </w:rPr>
        <w:t>Tabletop</w:t>
      </w:r>
      <w:proofErr w:type="spellEnd"/>
      <w:r>
        <w:rPr>
          <w:rtl/>
        </w:rPr>
        <w:t xml:space="preserve"> </w:t>
      </w:r>
      <w:proofErr w:type="spellStart"/>
      <w:r>
        <w:rPr>
          <w:rtl/>
        </w:rPr>
        <w:t>Exercises</w:t>
      </w:r>
      <w:proofErr w:type="spellEnd"/>
      <w:r>
        <w:rPr>
          <w:rtl/>
        </w:rPr>
        <w:t>) لسيناريوهات هجمات الفدية لاختبار جاهزية فريق الاستجابة.</w:t>
      </w:r>
    </w:p>
    <w:p w14:paraId="0FA0A11F" w14:textId="77777777" w:rsidR="00E57478" w:rsidRDefault="004023DF" w:rsidP="007B0AF5">
      <w:pPr>
        <w:pStyle w:val="Heading2"/>
        <w:bidi/>
        <w:spacing w:before="300" w:after="150"/>
      </w:pPr>
      <w:r>
        <w:rPr>
          <w:b/>
          <w:bCs/>
          <w:color w:val="1F2937"/>
          <w:sz w:val="25"/>
          <w:szCs w:val="25"/>
          <w:rtl/>
        </w:rPr>
        <w:t>٧. الحوكمة والتخطيط المستمر</w:t>
      </w:r>
    </w:p>
    <w:p w14:paraId="2051D0CB" w14:textId="77777777" w:rsidR="00E57478" w:rsidRDefault="004023DF" w:rsidP="007B0AF5">
      <w:pPr>
        <w:pStyle w:val="ListParagraph"/>
        <w:numPr>
          <w:ilvl w:val="0"/>
          <w:numId w:val="2"/>
        </w:numPr>
        <w:bidi/>
        <w:spacing w:after="80"/>
      </w:pPr>
      <w:r>
        <w:rPr>
          <w:rtl/>
        </w:rPr>
        <w:t>مراجعة وتحديث خطة الاستجابة للحوادث وخطة التعافي من الكوارث بشكل دوري.</w:t>
      </w:r>
    </w:p>
    <w:p w14:paraId="7DC3CDDD" w14:textId="77777777" w:rsidR="00E57478" w:rsidRDefault="004023DF" w:rsidP="007B0AF5">
      <w:pPr>
        <w:pStyle w:val="ListParagraph"/>
        <w:numPr>
          <w:ilvl w:val="0"/>
          <w:numId w:val="2"/>
        </w:numPr>
        <w:bidi/>
        <w:spacing w:after="80"/>
      </w:pPr>
      <w:r>
        <w:rPr>
          <w:rtl/>
        </w:rPr>
        <w:t>عقد جلسة "الدروس المستفادة" (</w:t>
      </w:r>
      <w:proofErr w:type="spellStart"/>
      <w:r>
        <w:rPr>
          <w:rtl/>
        </w:rPr>
        <w:t>Lessons</w:t>
      </w:r>
      <w:proofErr w:type="spellEnd"/>
      <w:r>
        <w:rPr>
          <w:rtl/>
        </w:rPr>
        <w:t xml:space="preserve"> </w:t>
      </w:r>
      <w:proofErr w:type="spellStart"/>
      <w:r>
        <w:rPr>
          <w:rtl/>
        </w:rPr>
        <w:t>Learned</w:t>
      </w:r>
      <w:proofErr w:type="spellEnd"/>
      <w:r>
        <w:rPr>
          <w:rtl/>
        </w:rPr>
        <w:t>) بعد أي حادث فعلي أو تدريب، وتحديث السياسات بناءً عليها.</w:t>
      </w:r>
    </w:p>
    <w:p w14:paraId="5BBD9A7C" w14:textId="77777777" w:rsidR="00E57478" w:rsidRDefault="004023DF" w:rsidP="007B0AF5">
      <w:pPr>
        <w:pStyle w:val="ListParagraph"/>
        <w:numPr>
          <w:ilvl w:val="0"/>
          <w:numId w:val="2"/>
        </w:numPr>
        <w:bidi/>
        <w:spacing w:after="80"/>
      </w:pPr>
      <w:r>
        <w:rPr>
          <w:rtl/>
        </w:rPr>
        <w:t>مشاركة مؤشرات الاختراق (</w:t>
      </w:r>
      <w:proofErr w:type="spellStart"/>
      <w:r>
        <w:rPr>
          <w:rtl/>
        </w:rPr>
        <w:t>IOCs</w:t>
      </w:r>
      <w:proofErr w:type="spellEnd"/>
      <w:r>
        <w:rPr>
          <w:rtl/>
        </w:rPr>
        <w:t>) والدروس المستفادة مع CISA أو الجهات الوطنية المعنية لدعم المجتمع الأوسع للأمن السيبراني.</w:t>
      </w:r>
    </w:p>
    <w:p w14:paraId="13DC62FD" w14:textId="77777777" w:rsidR="00E57478" w:rsidRDefault="00E57478">
      <w:pPr>
        <w:pBdr>
          <w:top w:val="single" w:sz="4" w:space="8" w:color="E5E7EB"/>
        </w:pBdr>
        <w:spacing w:before="400"/>
      </w:pPr>
    </w:p>
    <w:p w14:paraId="08CE3285" w14:textId="77777777" w:rsidR="00E57478" w:rsidRDefault="004023DF" w:rsidP="007B0AF5">
      <w:pPr>
        <w:bidi/>
        <w:spacing w:before="150"/>
        <w:jc w:val="center"/>
      </w:pPr>
      <w:r>
        <w:rPr>
          <w:i/>
          <w:iCs/>
          <w:color w:val="6B7280"/>
          <w:sz w:val="16"/>
          <w:szCs w:val="16"/>
          <w:rtl/>
        </w:rPr>
        <w:t xml:space="preserve">المصدر المرجعي: CISA / FBI / NSA / MS-ISAC — دليل #StopRansomware </w:t>
      </w:r>
      <w:proofErr w:type="spellStart"/>
      <w:r>
        <w:rPr>
          <w:i/>
          <w:iCs/>
          <w:color w:val="6B7280"/>
          <w:sz w:val="16"/>
          <w:szCs w:val="16"/>
          <w:rtl/>
        </w:rPr>
        <w:t>Guide</w:t>
      </w:r>
      <w:proofErr w:type="spellEnd"/>
      <w:r>
        <w:rPr>
          <w:i/>
          <w:iCs/>
          <w:color w:val="6B7280"/>
          <w:sz w:val="16"/>
          <w:szCs w:val="16"/>
          <w:rtl/>
        </w:rPr>
        <w:t xml:space="preserve"> (تحديث مايو ٢٠٢٣).</w:t>
      </w:r>
    </w:p>
    <w:sectPr w:rsidR="00E57478">
      <w:headerReference w:type="default" r:id="rId7"/>
      <w:footerReference w:type="default" r:id="rId8"/>
      <w:pgSz w:w="11906" w:h="16838"/>
      <w:pgMar w:top="1000" w:right="1000" w:bottom="1000" w:left="10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ECF58" w14:textId="77777777" w:rsidR="002245CE" w:rsidRDefault="002245CE">
      <w:r>
        <w:separator/>
      </w:r>
    </w:p>
  </w:endnote>
  <w:endnote w:type="continuationSeparator" w:id="0">
    <w:p w14:paraId="3CBA775D" w14:textId="77777777" w:rsidR="002245CE" w:rsidRDefault="00224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73514" w14:textId="77777777" w:rsidR="00E57478" w:rsidRDefault="004023DF">
    <w:pPr>
      <w:jc w:val="center"/>
    </w:pPr>
    <w:proofErr w:type="spellStart"/>
    <w:r>
      <w:rPr>
        <w:color w:val="6B7280"/>
        <w:sz w:val="16"/>
        <w:szCs w:val="16"/>
      </w:rPr>
      <w:t>صفحة</w:t>
    </w:r>
    <w:proofErr w:type="spellEnd"/>
    <w:r>
      <w:rPr>
        <w:color w:val="6B7280"/>
        <w:sz w:val="16"/>
        <w:szCs w:val="16"/>
      </w:rPr>
      <w:t xml:space="preserve"> </w:t>
    </w:r>
    <w:r>
      <w:rPr>
        <w:color w:val="6B7280"/>
        <w:sz w:val="16"/>
        <w:szCs w:val="16"/>
      </w:rPr>
      <w:fldChar w:fldCharType="begin"/>
    </w:r>
    <w:r>
      <w:rPr>
        <w:color w:val="6B7280"/>
        <w:sz w:val="16"/>
        <w:szCs w:val="16"/>
      </w:rPr>
      <w:instrText>PAGE</w:instrText>
    </w:r>
    <w:r>
      <w:rPr>
        <w:color w:val="6B7280"/>
        <w:sz w:val="16"/>
        <w:szCs w:val="16"/>
      </w:rPr>
      <w:fldChar w:fldCharType="separate"/>
    </w:r>
    <w:r w:rsidR="00921043">
      <w:rPr>
        <w:noProof/>
        <w:color w:val="6B7280"/>
        <w:sz w:val="16"/>
        <w:szCs w:val="16"/>
      </w:rPr>
      <w:t>1</w:t>
    </w:r>
    <w:r>
      <w:rPr>
        <w:color w:val="6B7280"/>
        <w:sz w:val="16"/>
        <w:szCs w:val="16"/>
      </w:rPr>
      <w:fldChar w:fldCharType="end"/>
    </w:r>
    <w:r>
      <w:rPr>
        <w:color w:val="6B7280"/>
        <w:sz w:val="16"/>
        <w:szCs w:val="16"/>
      </w:rPr>
      <w:t xml:space="preserve"> </w:t>
    </w:r>
    <w:proofErr w:type="spellStart"/>
    <w:r>
      <w:rPr>
        <w:color w:val="6B7280"/>
        <w:sz w:val="16"/>
        <w:szCs w:val="16"/>
      </w:rPr>
      <w:t>من</w:t>
    </w:r>
    <w:proofErr w:type="spellEnd"/>
    <w:r>
      <w:rPr>
        <w:color w:val="6B7280"/>
        <w:sz w:val="16"/>
        <w:szCs w:val="16"/>
      </w:rPr>
      <w:t xml:space="preserve"> </w:t>
    </w:r>
    <w:r>
      <w:rPr>
        <w:color w:val="6B7280"/>
        <w:sz w:val="16"/>
        <w:szCs w:val="16"/>
      </w:rPr>
      <w:fldChar w:fldCharType="begin"/>
    </w:r>
    <w:r>
      <w:rPr>
        <w:color w:val="6B7280"/>
        <w:sz w:val="16"/>
        <w:szCs w:val="16"/>
      </w:rPr>
      <w:instrText>NUMPAGES</w:instrText>
    </w:r>
    <w:r>
      <w:rPr>
        <w:color w:val="6B7280"/>
        <w:sz w:val="16"/>
        <w:szCs w:val="16"/>
      </w:rPr>
      <w:fldChar w:fldCharType="separate"/>
    </w:r>
    <w:r w:rsidR="00921043">
      <w:rPr>
        <w:noProof/>
        <w:color w:val="6B7280"/>
        <w:sz w:val="16"/>
        <w:szCs w:val="16"/>
      </w:rPr>
      <w:t>2</w:t>
    </w:r>
    <w:r>
      <w:rPr>
        <w:color w:val="6B72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EECB0" w14:textId="77777777" w:rsidR="002245CE" w:rsidRDefault="002245CE">
      <w:r>
        <w:separator/>
      </w:r>
    </w:p>
  </w:footnote>
  <w:footnote w:type="continuationSeparator" w:id="0">
    <w:p w14:paraId="7D08EE7A" w14:textId="77777777" w:rsidR="002245CE" w:rsidRDefault="002245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F578E" w14:textId="77777777" w:rsidR="00E57478" w:rsidRDefault="004023DF" w:rsidP="007B0AF5">
    <w:pPr>
      <w:pBdr>
        <w:bottom w:val="single" w:sz="4" w:space="4" w:color="E5E7EB"/>
      </w:pBdr>
      <w:bidi/>
      <w:jc w:val="center"/>
    </w:pPr>
    <w:proofErr w:type="spellStart"/>
    <w:r>
      <w:rPr>
        <w:color w:val="6B7280"/>
        <w:sz w:val="16"/>
        <w:szCs w:val="16"/>
        <w:rtl/>
      </w:rPr>
      <w:t>Ghaymah</w:t>
    </w:r>
    <w:proofErr w:type="spellEnd"/>
    <w:r>
      <w:rPr>
        <w:color w:val="6B7280"/>
        <w:sz w:val="16"/>
        <w:szCs w:val="16"/>
        <w:rtl/>
      </w:rPr>
      <w:t xml:space="preserve"> </w:t>
    </w:r>
    <w:proofErr w:type="spellStart"/>
    <w:r>
      <w:rPr>
        <w:color w:val="6B7280"/>
        <w:sz w:val="16"/>
        <w:szCs w:val="16"/>
        <w:rtl/>
      </w:rPr>
      <w:t>Cloud</w:t>
    </w:r>
    <w:proofErr w:type="spellEnd"/>
    <w:r>
      <w:rPr>
        <w:color w:val="6B7280"/>
        <w:sz w:val="16"/>
        <w:szCs w:val="16"/>
        <w:rtl/>
      </w:rPr>
      <w:t xml:space="preserve"> — خطة الاستجابة لحوادث الفدية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0245C"/>
    <w:multiLevelType w:val="hybridMultilevel"/>
    <w:tmpl w:val="185854BE"/>
    <w:lvl w:ilvl="0" w:tplc="81E243BE">
      <w:start w:val="1"/>
      <w:numFmt w:val="bullet"/>
      <w:lvlText w:val="●"/>
      <w:lvlJc w:val="left"/>
      <w:pPr>
        <w:ind w:left="720" w:hanging="360"/>
      </w:pPr>
    </w:lvl>
    <w:lvl w:ilvl="1" w:tplc="22B00956">
      <w:start w:val="1"/>
      <w:numFmt w:val="bullet"/>
      <w:lvlText w:val="○"/>
      <w:lvlJc w:val="left"/>
      <w:pPr>
        <w:ind w:left="1440" w:hanging="360"/>
      </w:pPr>
    </w:lvl>
    <w:lvl w:ilvl="2" w:tplc="A5AC5F8A">
      <w:start w:val="1"/>
      <w:numFmt w:val="bullet"/>
      <w:lvlText w:val="■"/>
      <w:lvlJc w:val="left"/>
      <w:pPr>
        <w:ind w:left="2160" w:hanging="360"/>
      </w:pPr>
    </w:lvl>
    <w:lvl w:ilvl="3" w:tplc="9446D608">
      <w:start w:val="1"/>
      <w:numFmt w:val="bullet"/>
      <w:lvlText w:val="●"/>
      <w:lvlJc w:val="left"/>
      <w:pPr>
        <w:ind w:left="2880" w:hanging="360"/>
      </w:pPr>
    </w:lvl>
    <w:lvl w:ilvl="4" w:tplc="AD2E29EA">
      <w:start w:val="1"/>
      <w:numFmt w:val="bullet"/>
      <w:lvlText w:val="○"/>
      <w:lvlJc w:val="left"/>
      <w:pPr>
        <w:ind w:left="3600" w:hanging="360"/>
      </w:pPr>
    </w:lvl>
    <w:lvl w:ilvl="5" w:tplc="548E3644">
      <w:start w:val="1"/>
      <w:numFmt w:val="bullet"/>
      <w:lvlText w:val="■"/>
      <w:lvlJc w:val="left"/>
      <w:pPr>
        <w:ind w:left="4320" w:hanging="360"/>
      </w:pPr>
    </w:lvl>
    <w:lvl w:ilvl="6" w:tplc="57723778">
      <w:start w:val="1"/>
      <w:numFmt w:val="bullet"/>
      <w:lvlText w:val="●"/>
      <w:lvlJc w:val="left"/>
      <w:pPr>
        <w:ind w:left="5040" w:hanging="360"/>
      </w:pPr>
    </w:lvl>
    <w:lvl w:ilvl="7" w:tplc="802EE552">
      <w:start w:val="1"/>
      <w:numFmt w:val="bullet"/>
      <w:lvlText w:val="●"/>
      <w:lvlJc w:val="left"/>
      <w:pPr>
        <w:ind w:left="5760" w:hanging="360"/>
      </w:pPr>
    </w:lvl>
    <w:lvl w:ilvl="8" w:tplc="29C6066A">
      <w:start w:val="1"/>
      <w:numFmt w:val="bullet"/>
      <w:lvlText w:val="●"/>
      <w:lvlJc w:val="left"/>
      <w:pPr>
        <w:ind w:left="6480" w:hanging="360"/>
      </w:pPr>
    </w:lvl>
  </w:abstractNum>
  <w:abstractNum w:abstractNumId="1" w15:restartNumberingAfterBreak="0">
    <w:nsid w:val="333A6FFD"/>
    <w:multiLevelType w:val="hybridMultilevel"/>
    <w:tmpl w:val="02DAD620"/>
    <w:lvl w:ilvl="0" w:tplc="141263EE">
      <w:start w:val="1"/>
      <w:numFmt w:val="bullet"/>
      <w:lvlText w:val="●"/>
      <w:lvlJc w:val="right"/>
      <w:pPr>
        <w:ind w:right="420" w:hanging="260"/>
      </w:pPr>
    </w:lvl>
    <w:lvl w:ilvl="1" w:tplc="1FF6727E">
      <w:start w:val="1"/>
      <w:numFmt w:val="bullet"/>
      <w:lvlText w:val="○"/>
      <w:lvlJc w:val="right"/>
      <w:pPr>
        <w:ind w:right="720" w:hanging="260"/>
      </w:pPr>
    </w:lvl>
    <w:lvl w:ilvl="2" w:tplc="D318F3AC">
      <w:numFmt w:val="decimal"/>
      <w:lvlText w:val=""/>
      <w:lvlJc w:val="left"/>
    </w:lvl>
    <w:lvl w:ilvl="3" w:tplc="8D30D24A">
      <w:numFmt w:val="decimal"/>
      <w:lvlText w:val=""/>
      <w:lvlJc w:val="left"/>
    </w:lvl>
    <w:lvl w:ilvl="4" w:tplc="F828D5D8">
      <w:numFmt w:val="decimal"/>
      <w:lvlText w:val=""/>
      <w:lvlJc w:val="left"/>
    </w:lvl>
    <w:lvl w:ilvl="5" w:tplc="79A0841A">
      <w:numFmt w:val="decimal"/>
      <w:lvlText w:val=""/>
      <w:lvlJc w:val="left"/>
    </w:lvl>
    <w:lvl w:ilvl="6" w:tplc="478C5192">
      <w:numFmt w:val="decimal"/>
      <w:lvlText w:val=""/>
      <w:lvlJc w:val="left"/>
    </w:lvl>
    <w:lvl w:ilvl="7" w:tplc="B448B696">
      <w:numFmt w:val="decimal"/>
      <w:lvlText w:val=""/>
      <w:lvlJc w:val="left"/>
    </w:lvl>
    <w:lvl w:ilvl="8" w:tplc="0C2C4BC2">
      <w:numFmt w:val="decimal"/>
      <w:lvlText w:val=""/>
      <w:lvlJc w:val="left"/>
    </w:lvl>
  </w:abstractNum>
  <w:abstractNum w:abstractNumId="2" w15:restartNumberingAfterBreak="0">
    <w:nsid w:val="3A157D01"/>
    <w:multiLevelType w:val="hybridMultilevel"/>
    <w:tmpl w:val="C63A1A6A"/>
    <w:lvl w:ilvl="0" w:tplc="CC7C3E2C">
      <w:start w:val="1"/>
      <w:numFmt w:val="bullet"/>
      <w:lvlText w:val="–"/>
      <w:lvlJc w:val="right"/>
      <w:pPr>
        <w:ind w:right="260" w:hanging="200"/>
      </w:pPr>
    </w:lvl>
    <w:lvl w:ilvl="1" w:tplc="AF329040">
      <w:numFmt w:val="decimal"/>
      <w:lvlText w:val=""/>
      <w:lvlJc w:val="left"/>
    </w:lvl>
    <w:lvl w:ilvl="2" w:tplc="8034D882">
      <w:numFmt w:val="decimal"/>
      <w:lvlText w:val=""/>
      <w:lvlJc w:val="left"/>
    </w:lvl>
    <w:lvl w:ilvl="3" w:tplc="8940C0CC">
      <w:numFmt w:val="decimal"/>
      <w:lvlText w:val=""/>
      <w:lvlJc w:val="left"/>
    </w:lvl>
    <w:lvl w:ilvl="4" w:tplc="E2289EF8">
      <w:numFmt w:val="decimal"/>
      <w:lvlText w:val=""/>
      <w:lvlJc w:val="left"/>
    </w:lvl>
    <w:lvl w:ilvl="5" w:tplc="3CD65004">
      <w:numFmt w:val="decimal"/>
      <w:lvlText w:val=""/>
      <w:lvlJc w:val="left"/>
    </w:lvl>
    <w:lvl w:ilvl="6" w:tplc="2FAC3B48">
      <w:numFmt w:val="decimal"/>
      <w:lvlText w:val=""/>
      <w:lvlJc w:val="left"/>
    </w:lvl>
    <w:lvl w:ilvl="7" w:tplc="BFA49AFA">
      <w:numFmt w:val="decimal"/>
      <w:lvlText w:val=""/>
      <w:lvlJc w:val="left"/>
    </w:lvl>
    <w:lvl w:ilvl="8" w:tplc="CE2A9682">
      <w:numFmt w:val="decimal"/>
      <w:lvlText w:val=""/>
      <w:lvlJc w:val="left"/>
    </w:lvl>
  </w:abstractNum>
  <w:num w:numId="1" w16cid:durableId="1550459660">
    <w:abstractNumId w:val="0"/>
    <w:lvlOverride w:ilvl="0">
      <w:startOverride w:val="1"/>
    </w:lvlOverride>
  </w:num>
  <w:num w:numId="2" w16cid:durableId="1035472265">
    <w:abstractNumId w:val="1"/>
    <w:lvlOverride w:ilvl="0">
      <w:startOverride w:val="1"/>
    </w:lvlOverride>
  </w:num>
  <w:num w:numId="3" w16cid:durableId="694038995">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478"/>
    <w:rsid w:val="002245CE"/>
    <w:rsid w:val="004023DF"/>
    <w:rsid w:val="006667E7"/>
    <w:rsid w:val="007B0AF5"/>
    <w:rsid w:val="009007A0"/>
    <w:rsid w:val="00921043"/>
    <w:rsid w:val="00E574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EC93A"/>
  <w15:docId w15:val="{5C7F0DF5-0241-4155-A378-7232B0F3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7B0AF5"/>
    <w:pPr>
      <w:tabs>
        <w:tab w:val="center" w:pos="4680"/>
        <w:tab w:val="right" w:pos="9360"/>
      </w:tabs>
    </w:pPr>
  </w:style>
  <w:style w:type="character" w:customStyle="1" w:styleId="HeaderChar">
    <w:name w:val="Header Char"/>
    <w:basedOn w:val="DefaultParagraphFont"/>
    <w:link w:val="Header"/>
    <w:uiPriority w:val="99"/>
    <w:rsid w:val="007B0AF5"/>
  </w:style>
  <w:style w:type="paragraph" w:styleId="Footer">
    <w:name w:val="footer"/>
    <w:basedOn w:val="Normal"/>
    <w:link w:val="FooterChar"/>
    <w:uiPriority w:val="99"/>
    <w:unhideWhenUsed/>
    <w:rsid w:val="007B0AF5"/>
    <w:pPr>
      <w:tabs>
        <w:tab w:val="center" w:pos="4680"/>
        <w:tab w:val="right" w:pos="9360"/>
      </w:tabs>
    </w:pPr>
  </w:style>
  <w:style w:type="character" w:customStyle="1" w:styleId="FooterChar">
    <w:name w:val="Footer Char"/>
    <w:basedOn w:val="DefaultParagraphFont"/>
    <w:link w:val="Footer"/>
    <w:uiPriority w:val="99"/>
    <w:rsid w:val="007B0A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1050</Words>
  <Characters>5990</Characters>
  <Application>Microsoft Office Word</Application>
  <DocSecurity>0</DocSecurity>
  <Lines>49</Lines>
  <Paragraphs>14</Paragraphs>
  <ScaleCrop>false</ScaleCrop>
  <Company/>
  <LinksUpToDate>false</LinksUpToDate>
  <CharactersWithSpaces>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Student .</cp:lastModifiedBy>
  <cp:revision>4</cp:revision>
  <cp:lastPrinted>2026-07-27T14:42:00Z</cp:lastPrinted>
  <dcterms:created xsi:type="dcterms:W3CDTF">2026-07-27T11:06:00Z</dcterms:created>
  <dcterms:modified xsi:type="dcterms:W3CDTF">2026-07-27T14:42:00Z</dcterms:modified>
</cp:coreProperties>
</file>