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791A" w14:textId="77777777" w:rsidR="007521EB" w:rsidRDefault="00000000">
      <w:pPr>
        <w:spacing w:after="60"/>
      </w:pPr>
      <w:r>
        <w:rPr>
          <w:b/>
          <w:bCs/>
          <w:color w:val="E55D00"/>
          <w:sz w:val="40"/>
          <w:szCs w:val="40"/>
        </w:rPr>
        <w:t>Privacy Assessment Report</w:t>
      </w:r>
    </w:p>
    <w:p w14:paraId="40FFCF42" w14:textId="77777777" w:rsidR="007521EB" w:rsidRDefault="00000000">
      <w:pPr>
        <w:spacing w:after="60"/>
      </w:pPr>
      <w:r>
        <w:rPr>
          <w:i/>
          <w:iCs/>
          <w:color w:val="666666"/>
          <w:sz w:val="20"/>
          <w:szCs w:val="20"/>
        </w:rPr>
        <w:t xml:space="preserve">Target site: </w:t>
      </w:r>
      <w:proofErr w:type="spellStart"/>
      <w:r>
        <w:rPr>
          <w:i/>
          <w:iCs/>
          <w:color w:val="666666"/>
          <w:sz w:val="20"/>
          <w:szCs w:val="20"/>
        </w:rPr>
        <w:t>mithal.space</w:t>
      </w:r>
      <w:proofErr w:type="spellEnd"/>
      <w:r>
        <w:rPr>
          <w:i/>
          <w:iCs/>
          <w:color w:val="666666"/>
          <w:sz w:val="20"/>
          <w:szCs w:val="20"/>
        </w:rPr>
        <w:t xml:space="preserve">  |  Tool: Chrome </w:t>
      </w:r>
      <w:proofErr w:type="spellStart"/>
      <w:r>
        <w:rPr>
          <w:i/>
          <w:iCs/>
          <w:color w:val="666666"/>
          <w:sz w:val="20"/>
          <w:szCs w:val="20"/>
        </w:rPr>
        <w:t>DevTools</w:t>
      </w:r>
      <w:proofErr w:type="spellEnd"/>
    </w:p>
    <w:p w14:paraId="30BEF7B6" w14:textId="04430143" w:rsidR="007521EB" w:rsidRDefault="00000000">
      <w:pPr>
        <w:spacing w:after="240"/>
      </w:pPr>
      <w:r>
        <w:rPr>
          <w:color w:val="666666"/>
          <w:sz w:val="20"/>
          <w:szCs w:val="20"/>
        </w:rPr>
        <w:t xml:space="preserve">Prepared for: Privacy Assessment Assignment </w:t>
      </w:r>
    </w:p>
    <w:p w14:paraId="2931C7B4" w14:textId="77777777" w:rsidR="007521EB" w:rsidRDefault="00000000">
      <w:pPr>
        <w:pStyle w:val="Heading1"/>
        <w:pBdr>
          <w:bottom w:val="single" w:sz="8" w:space="4" w:color="E55D00"/>
        </w:pBdr>
        <w:spacing w:before="320" w:after="160"/>
      </w:pPr>
      <w:r>
        <w:rPr>
          <w:b/>
          <w:bCs/>
          <w:color w:val="E55D00"/>
          <w:sz w:val="30"/>
          <w:szCs w:val="30"/>
        </w:rPr>
        <w:t>1. Introduction</w:t>
      </w:r>
    </w:p>
    <w:p w14:paraId="75C6FBE9" w14:textId="77777777" w:rsidR="007521EB" w:rsidRDefault="00000000">
      <w:pPr>
        <w:spacing w:after="120"/>
      </w:pPr>
      <w:r>
        <w:t xml:space="preserve">This report evaluates the privacy and security posture of the search engine </w:t>
      </w:r>
      <w:proofErr w:type="spellStart"/>
      <w:r>
        <w:t>mithal.space</w:t>
      </w:r>
      <w:proofErr w:type="spellEnd"/>
      <w:r>
        <w:t xml:space="preserve"> (Arabic: </w:t>
      </w:r>
      <w:proofErr w:type="spellStart"/>
      <w:r>
        <w:t>مثال</w:t>
      </w:r>
      <w:proofErr w:type="spellEnd"/>
      <w:r>
        <w:t xml:space="preserve">, meaning "Example"). Using Chrome </w:t>
      </w:r>
      <w:proofErr w:type="spellStart"/>
      <w:r>
        <w:t>DevTools</w:t>
      </w:r>
      <w:proofErr w:type="spellEnd"/>
      <w:r>
        <w:t xml:space="preserve">, the site was inspected across four dimensions: cookies, third-party trackers, HTTPS/TLS configuration, and HTTP response headers. The results are then benchmarked against Google Search and, for additional context, DuckDuckGo, followed by concrete recommendations for improving </w:t>
      </w:r>
      <w:proofErr w:type="spellStart"/>
      <w:r>
        <w:t>mithal.space's</w:t>
      </w:r>
      <w:proofErr w:type="spellEnd"/>
      <w:r>
        <w:t xml:space="preserve"> privacy posture.</w:t>
      </w:r>
    </w:p>
    <w:p w14:paraId="6DBB0A56" w14:textId="77777777" w:rsidR="007521EB" w:rsidRDefault="00000000">
      <w:pPr>
        <w:pStyle w:val="Heading1"/>
        <w:pBdr>
          <w:bottom w:val="single" w:sz="8" w:space="4" w:color="E55D00"/>
        </w:pBdr>
        <w:spacing w:before="320" w:after="160"/>
      </w:pPr>
      <w:r>
        <w:rPr>
          <w:b/>
          <w:bCs/>
          <w:color w:val="E55D00"/>
          <w:sz w:val="30"/>
          <w:szCs w:val="30"/>
        </w:rPr>
        <w:t>2. Methodology</w:t>
      </w:r>
    </w:p>
    <w:p w14:paraId="3B886646" w14:textId="77777777" w:rsidR="007521EB" w:rsidRDefault="00000000">
      <w:pPr>
        <w:pStyle w:val="ListParagraph"/>
        <w:numPr>
          <w:ilvl w:val="0"/>
          <w:numId w:val="2"/>
        </w:numPr>
        <w:spacing w:after="60"/>
      </w:pPr>
      <w:r>
        <w:t>Application panel → Cookies: checked which cookies (if any) were set on first page load.</w:t>
      </w:r>
    </w:p>
    <w:p w14:paraId="7AC86DF5" w14:textId="77777777" w:rsidR="007521EB" w:rsidRDefault="00000000">
      <w:pPr>
        <w:pStyle w:val="ListParagraph"/>
        <w:numPr>
          <w:ilvl w:val="0"/>
          <w:numId w:val="2"/>
        </w:numPr>
        <w:spacing w:after="60"/>
      </w:pPr>
      <w:r>
        <w:t>Network panel: reviewed the full list of requests, transferred data size, and script initiators to identify trackers and third-party calls.</w:t>
      </w:r>
    </w:p>
    <w:p w14:paraId="762F4ABC" w14:textId="77777777" w:rsidR="007521EB" w:rsidRDefault="00000000">
      <w:pPr>
        <w:pStyle w:val="ListParagraph"/>
        <w:numPr>
          <w:ilvl w:val="0"/>
          <w:numId w:val="2"/>
        </w:numPr>
        <w:spacing w:after="60"/>
      </w:pPr>
      <w:r>
        <w:t>Security panel: inspected the TLS version, key exchange algorithm, cipher suite, and certificate validity/Certificate Transparency status.</w:t>
      </w:r>
    </w:p>
    <w:p w14:paraId="0F52FC85" w14:textId="77777777" w:rsidR="007521EB" w:rsidRDefault="00000000">
      <w:pPr>
        <w:pStyle w:val="ListParagraph"/>
        <w:numPr>
          <w:ilvl w:val="0"/>
          <w:numId w:val="2"/>
        </w:numPr>
        <w:spacing w:after="60"/>
      </w:pPr>
      <w:r>
        <w:t>Network → Headers: examined request and response headers, including security-relevant headers (Referrer-Policy, Client Hints, Alt-Svc).</w:t>
      </w:r>
    </w:p>
    <w:p w14:paraId="7DAE3548" w14:textId="77777777" w:rsidR="007521EB" w:rsidRDefault="00000000">
      <w:pPr>
        <w:pStyle w:val="Heading1"/>
        <w:pBdr>
          <w:bottom w:val="single" w:sz="8" w:space="4" w:color="E55D00"/>
        </w:pBdr>
        <w:spacing w:before="320" w:after="160"/>
      </w:pPr>
      <w:r>
        <w:rPr>
          <w:b/>
          <w:bCs/>
          <w:color w:val="E55D00"/>
          <w:sz w:val="30"/>
          <w:szCs w:val="30"/>
        </w:rPr>
        <w:t xml:space="preserve">3. Findings for </w:t>
      </w:r>
      <w:proofErr w:type="spellStart"/>
      <w:r>
        <w:rPr>
          <w:b/>
          <w:bCs/>
          <w:color w:val="E55D00"/>
          <w:sz w:val="30"/>
          <w:szCs w:val="30"/>
        </w:rPr>
        <w:t>mithal.space</w:t>
      </w:r>
      <w:proofErr w:type="spellEnd"/>
    </w:p>
    <w:p w14:paraId="1F3F097D" w14:textId="77777777" w:rsidR="007521EB" w:rsidRDefault="00000000">
      <w:pPr>
        <w:pStyle w:val="Heading2"/>
        <w:spacing w:before="240" w:after="100"/>
      </w:pPr>
      <w:r>
        <w:rPr>
          <w:b/>
          <w:bCs/>
          <w:color w:val="E55D00"/>
          <w:sz w:val="24"/>
          <w:szCs w:val="24"/>
        </w:rPr>
        <w:t>3.1 Cookies</w:t>
      </w:r>
    </w:p>
    <w:p w14:paraId="505BBD7A" w14:textId="77777777" w:rsidR="007521EB" w:rsidRDefault="00000000">
      <w:pPr>
        <w:spacing w:after="120"/>
      </w:pPr>
      <w:r>
        <w:t xml:space="preserve">The Cookies-in-use panel showed no cookies set when the page was loaded - every field (Name, Content, Domain, Path, Expires) read "no cookie selected." This indicates </w:t>
      </w:r>
      <w:proofErr w:type="spellStart"/>
      <w:r>
        <w:t>mithal.space</w:t>
      </w:r>
      <w:proofErr w:type="spellEnd"/>
      <w:r>
        <w:t xml:space="preserve"> does not use tracking, session, or analytics cookies on its landing page, which is a strong privacy signal compared to most commercial search engines.</w:t>
      </w:r>
    </w:p>
    <w:p w14:paraId="6A80CC95" w14:textId="77777777" w:rsidR="007521EB" w:rsidRDefault="00000000">
      <w:pPr>
        <w:spacing w:before="160" w:after="40"/>
        <w:jc w:val="center"/>
      </w:pPr>
      <w:r>
        <w:rPr>
          <w:noProof/>
        </w:rPr>
        <w:drawing>
          <wp:inline distT="0" distB="0" distL="0" distR="0" wp14:anchorId="34E75A5E" wp14:editId="2A828E22">
            <wp:extent cx="4381500"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4381500" cy="2190750"/>
                    </a:xfrm>
                    <a:prstGeom prst="rect">
                      <a:avLst/>
                    </a:prstGeom>
                  </pic:spPr>
                </pic:pic>
              </a:graphicData>
            </a:graphic>
          </wp:inline>
        </w:drawing>
      </w:r>
    </w:p>
    <w:p w14:paraId="6A35531B" w14:textId="77777777" w:rsidR="007521EB" w:rsidRDefault="00000000">
      <w:pPr>
        <w:spacing w:after="160"/>
        <w:jc w:val="center"/>
      </w:pPr>
      <w:r>
        <w:rPr>
          <w:i/>
          <w:iCs/>
          <w:color w:val="666666"/>
          <w:sz w:val="17"/>
          <w:szCs w:val="17"/>
        </w:rPr>
        <w:t xml:space="preserve">Figure 1: </w:t>
      </w:r>
      <w:proofErr w:type="spellStart"/>
      <w:r>
        <w:rPr>
          <w:i/>
          <w:iCs/>
          <w:color w:val="666666"/>
          <w:sz w:val="17"/>
          <w:szCs w:val="17"/>
        </w:rPr>
        <w:t>mithal.space</w:t>
      </w:r>
      <w:proofErr w:type="spellEnd"/>
      <w:r>
        <w:rPr>
          <w:i/>
          <w:iCs/>
          <w:color w:val="666666"/>
          <w:sz w:val="17"/>
          <w:szCs w:val="17"/>
        </w:rPr>
        <w:t xml:space="preserve"> - Cookies in use panel: no cookies were set on page load.</w:t>
      </w:r>
    </w:p>
    <w:p w14:paraId="1AC230FE" w14:textId="77777777" w:rsidR="007521EB" w:rsidRDefault="00000000">
      <w:pPr>
        <w:pStyle w:val="Heading2"/>
        <w:spacing w:before="240" w:after="100"/>
      </w:pPr>
      <w:r>
        <w:rPr>
          <w:b/>
          <w:bCs/>
          <w:color w:val="E55D00"/>
          <w:sz w:val="24"/>
          <w:szCs w:val="24"/>
        </w:rPr>
        <w:t>3.2 Trackers</w:t>
      </w:r>
    </w:p>
    <w:p w14:paraId="26DE2F41" w14:textId="77777777" w:rsidR="007521EB" w:rsidRDefault="00000000">
      <w:pPr>
        <w:spacing w:after="120"/>
      </w:pPr>
      <w:r>
        <w:t xml:space="preserve">The Network panel recorded 25 requests </w:t>
      </w:r>
      <w:proofErr w:type="spellStart"/>
      <w:r>
        <w:t>totalling</w:t>
      </w:r>
      <w:proofErr w:type="spellEnd"/>
      <w:r>
        <w:t xml:space="preserve"> about 228 kB transferred (496 kB of resources). Filtering by "</w:t>
      </w:r>
      <w:proofErr w:type="spellStart"/>
      <w:r>
        <w:t>js</w:t>
      </w:r>
      <w:proofErr w:type="spellEnd"/>
      <w:r>
        <w:t xml:space="preserve">" surfaced files such as extend-native-history-api.js, requests.js, location.js, recordConsoleEvents.js, popup.js, and tat_popup.js. Their Initiator column, however, points to processor.js, content.js, and contentscript.js - names typical of an installed browser extension's content scripts rather than code shipped by </w:t>
      </w:r>
      <w:proofErr w:type="spellStart"/>
      <w:r>
        <w:t>mithal.space</w:t>
      </w:r>
      <w:proofErr w:type="spellEnd"/>
      <w:r>
        <w:t xml:space="preserve"> itself. In other words, </w:t>
      </w:r>
      <w:r>
        <w:lastRenderedPageBreak/>
        <w:t xml:space="preserve">most of what looked like "tracking" activity in this capture originated from the browser extension environment, not from the site. </w:t>
      </w:r>
      <w:proofErr w:type="spellStart"/>
      <w:r>
        <w:t>mithal.space's</w:t>
      </w:r>
      <w:proofErr w:type="spellEnd"/>
      <w:r>
        <w:t xml:space="preserve"> own network activity is dominated by a small number of CDN-hosted libraries and fonts, with no dedicated analytics or advertising trackers identified.</w:t>
      </w:r>
    </w:p>
    <w:p w14:paraId="34C7A62F" w14:textId="77777777" w:rsidR="007521EB" w:rsidRDefault="00000000">
      <w:pPr>
        <w:spacing w:before="160" w:after="40"/>
        <w:jc w:val="center"/>
      </w:pPr>
      <w:r>
        <w:rPr>
          <w:noProof/>
        </w:rPr>
        <w:drawing>
          <wp:inline distT="0" distB="0" distL="0" distR="0" wp14:anchorId="6D937ADA" wp14:editId="4DDCE87E">
            <wp:extent cx="4381500" cy="2047875"/>
            <wp:effectExtent l="0" t="0" r="0" b="0"/>
            <wp:docPr id="356024928" name="Picture 35602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4381500" cy="2047875"/>
                    </a:xfrm>
                    <a:prstGeom prst="rect">
                      <a:avLst/>
                    </a:prstGeom>
                  </pic:spPr>
                </pic:pic>
              </a:graphicData>
            </a:graphic>
          </wp:inline>
        </w:drawing>
      </w:r>
    </w:p>
    <w:p w14:paraId="6A3F1D2F" w14:textId="77777777" w:rsidR="007521EB" w:rsidRDefault="00000000">
      <w:pPr>
        <w:spacing w:after="160"/>
        <w:jc w:val="center"/>
      </w:pPr>
      <w:r>
        <w:rPr>
          <w:i/>
          <w:iCs/>
          <w:color w:val="666666"/>
          <w:sz w:val="17"/>
          <w:szCs w:val="17"/>
        </w:rPr>
        <w:t xml:space="preserve">Figure 2: </w:t>
      </w:r>
      <w:proofErr w:type="spellStart"/>
      <w:r>
        <w:rPr>
          <w:i/>
          <w:iCs/>
          <w:color w:val="666666"/>
          <w:sz w:val="17"/>
          <w:szCs w:val="17"/>
        </w:rPr>
        <w:t>mithal.space</w:t>
      </w:r>
      <w:proofErr w:type="spellEnd"/>
      <w:r>
        <w:rPr>
          <w:i/>
          <w:iCs/>
          <w:color w:val="666666"/>
          <w:sz w:val="17"/>
          <w:szCs w:val="17"/>
        </w:rPr>
        <w:t xml:space="preserve"> - Network panel: 25 requests, 228 kB transferred, mostly CDN/library resources.</w:t>
      </w:r>
    </w:p>
    <w:p w14:paraId="124F7230" w14:textId="77777777" w:rsidR="007521EB" w:rsidRDefault="00000000">
      <w:pPr>
        <w:spacing w:before="160" w:after="40"/>
        <w:jc w:val="center"/>
      </w:pPr>
      <w:r>
        <w:rPr>
          <w:noProof/>
        </w:rPr>
        <w:drawing>
          <wp:inline distT="0" distB="0" distL="0" distR="0" wp14:anchorId="2ED007CF" wp14:editId="7DC86876">
            <wp:extent cx="4762500" cy="2219325"/>
            <wp:effectExtent l="0" t="0" r="0" b="0"/>
            <wp:docPr id="1524516739" name="Picture 152451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762500" cy="2219325"/>
                    </a:xfrm>
                    <a:prstGeom prst="rect">
                      <a:avLst/>
                    </a:prstGeom>
                  </pic:spPr>
                </pic:pic>
              </a:graphicData>
            </a:graphic>
          </wp:inline>
        </w:drawing>
      </w:r>
    </w:p>
    <w:p w14:paraId="0CDC5450" w14:textId="77777777" w:rsidR="007521EB" w:rsidRDefault="00000000">
      <w:pPr>
        <w:spacing w:after="160"/>
        <w:jc w:val="center"/>
      </w:pPr>
      <w:r>
        <w:rPr>
          <w:i/>
          <w:iCs/>
          <w:color w:val="666666"/>
          <w:sz w:val="17"/>
          <w:szCs w:val="17"/>
        </w:rPr>
        <w:t xml:space="preserve">Figure 3: </w:t>
      </w:r>
      <w:proofErr w:type="spellStart"/>
      <w:r>
        <w:rPr>
          <w:i/>
          <w:iCs/>
          <w:color w:val="666666"/>
          <w:sz w:val="17"/>
          <w:szCs w:val="17"/>
        </w:rPr>
        <w:t>mithal.space</w:t>
      </w:r>
      <w:proofErr w:type="spellEnd"/>
      <w:r>
        <w:rPr>
          <w:i/>
          <w:iCs/>
          <w:color w:val="666666"/>
          <w:sz w:val="17"/>
          <w:szCs w:val="17"/>
        </w:rPr>
        <w:t xml:space="preserve"> - Network panel filtered by "</w:t>
      </w:r>
      <w:proofErr w:type="spellStart"/>
      <w:r>
        <w:rPr>
          <w:i/>
          <w:iCs/>
          <w:color w:val="666666"/>
          <w:sz w:val="17"/>
          <w:szCs w:val="17"/>
        </w:rPr>
        <w:t>js</w:t>
      </w:r>
      <w:proofErr w:type="spellEnd"/>
      <w:r>
        <w:rPr>
          <w:i/>
          <w:iCs/>
          <w:color w:val="666666"/>
          <w:sz w:val="17"/>
          <w:szCs w:val="17"/>
        </w:rPr>
        <w:t>": scripts initiated by processor.js / contentscript.js, characteristic of a browser extension rather than the site itself.</w:t>
      </w:r>
    </w:p>
    <w:p w14:paraId="7B9B2F5D" w14:textId="77777777" w:rsidR="007521EB" w:rsidRDefault="00000000">
      <w:pPr>
        <w:pStyle w:val="Heading2"/>
        <w:spacing w:before="240" w:after="100"/>
      </w:pPr>
      <w:r>
        <w:rPr>
          <w:b/>
          <w:bCs/>
          <w:color w:val="E55D00"/>
          <w:sz w:val="24"/>
          <w:szCs w:val="24"/>
        </w:rPr>
        <w:t>3.3 HTTPS / TLS</w:t>
      </w:r>
    </w:p>
    <w:p w14:paraId="0B750CBB" w14:textId="77777777" w:rsidR="007521EB" w:rsidRDefault="00000000">
      <w:pPr>
        <w:spacing w:after="120"/>
      </w:pPr>
      <w:r>
        <w:t>The Security panel confirmed a valid, trusted certificate using TLS 1.3, with the modern hybrid post-quantum key exchange X25519MLKEM768, an ECDSA-with-SHA-256 server signature, and the AES_128_GCM cipher. The certificate was valid (17 May 2026 - 15 Sep 2026) and Certificate Transparency (SCT) verification passed. This is a strong, up-to-date HTTPS configuration.</w:t>
      </w:r>
    </w:p>
    <w:p w14:paraId="247624D9" w14:textId="77777777" w:rsidR="007521EB" w:rsidRDefault="00000000">
      <w:pPr>
        <w:spacing w:before="160" w:after="40"/>
        <w:jc w:val="center"/>
      </w:pPr>
      <w:r>
        <w:rPr>
          <w:noProof/>
        </w:rPr>
        <w:drawing>
          <wp:inline distT="0" distB="0" distL="0" distR="0" wp14:anchorId="0C5C7606" wp14:editId="52288118">
            <wp:extent cx="4381500" cy="2028825"/>
            <wp:effectExtent l="0" t="0" r="0" b="0"/>
            <wp:docPr id="52857519" name="Picture 52857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381500" cy="2028825"/>
                    </a:xfrm>
                    <a:prstGeom prst="rect">
                      <a:avLst/>
                    </a:prstGeom>
                  </pic:spPr>
                </pic:pic>
              </a:graphicData>
            </a:graphic>
          </wp:inline>
        </w:drawing>
      </w:r>
    </w:p>
    <w:p w14:paraId="6370542C" w14:textId="77777777" w:rsidR="007521EB" w:rsidRDefault="00000000">
      <w:pPr>
        <w:spacing w:after="160"/>
        <w:jc w:val="center"/>
      </w:pPr>
      <w:r>
        <w:rPr>
          <w:i/>
          <w:iCs/>
          <w:color w:val="666666"/>
          <w:sz w:val="17"/>
          <w:szCs w:val="17"/>
        </w:rPr>
        <w:t xml:space="preserve">Figure 4: </w:t>
      </w:r>
      <w:proofErr w:type="spellStart"/>
      <w:r>
        <w:rPr>
          <w:i/>
          <w:iCs/>
          <w:color w:val="666666"/>
          <w:sz w:val="17"/>
          <w:szCs w:val="17"/>
        </w:rPr>
        <w:t>mithal.space</w:t>
      </w:r>
      <w:proofErr w:type="spellEnd"/>
      <w:r>
        <w:rPr>
          <w:i/>
          <w:iCs/>
          <w:color w:val="666666"/>
          <w:sz w:val="17"/>
          <w:szCs w:val="17"/>
        </w:rPr>
        <w:t xml:space="preserve"> - Security panel: TLS 1.3, X25519MLKEM768 key exchange, AES_128_GCM cipher, valid certificate.</w:t>
      </w:r>
    </w:p>
    <w:p w14:paraId="675A16CA" w14:textId="77777777" w:rsidR="007521EB" w:rsidRDefault="00000000">
      <w:pPr>
        <w:pStyle w:val="Heading2"/>
        <w:spacing w:before="240" w:after="100"/>
      </w:pPr>
      <w:r>
        <w:rPr>
          <w:b/>
          <w:bCs/>
          <w:color w:val="E55D00"/>
          <w:sz w:val="24"/>
          <w:szCs w:val="24"/>
        </w:rPr>
        <w:lastRenderedPageBreak/>
        <w:t>3.4 HTTP Headers</w:t>
      </w:r>
    </w:p>
    <w:p w14:paraId="0629386D" w14:textId="77777777" w:rsidR="007521EB" w:rsidRDefault="00000000">
      <w:pPr>
        <w:spacing w:after="120"/>
      </w:pPr>
      <w:r>
        <w:t>The response for the main document listed roughly a dozen response headers, including a Referrer-Policy of strict-origin-when-cross-origin, which limits the referrer information leaked to other origins. No Content-Security-Policy or Strict-Transport-Security header was observed among the captured headers, which is a gap addressed in the recommendations below.</w:t>
      </w:r>
    </w:p>
    <w:p w14:paraId="7666566E" w14:textId="77777777" w:rsidR="007521EB" w:rsidRDefault="00000000">
      <w:pPr>
        <w:spacing w:before="160" w:after="40"/>
        <w:jc w:val="center"/>
      </w:pPr>
      <w:r>
        <w:rPr>
          <w:noProof/>
        </w:rPr>
        <w:drawing>
          <wp:inline distT="0" distB="0" distL="0" distR="0" wp14:anchorId="76ED6968" wp14:editId="0CF1A602">
            <wp:extent cx="4381500" cy="2047875"/>
            <wp:effectExtent l="0" t="0" r="0" b="0"/>
            <wp:docPr id="2145173719" name="Picture 214517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381500" cy="2047875"/>
                    </a:xfrm>
                    <a:prstGeom prst="rect">
                      <a:avLst/>
                    </a:prstGeom>
                  </pic:spPr>
                </pic:pic>
              </a:graphicData>
            </a:graphic>
          </wp:inline>
        </w:drawing>
      </w:r>
    </w:p>
    <w:p w14:paraId="4F0EB9F0" w14:textId="77777777" w:rsidR="007521EB" w:rsidRDefault="00000000">
      <w:pPr>
        <w:spacing w:after="160"/>
        <w:jc w:val="center"/>
      </w:pPr>
      <w:r>
        <w:rPr>
          <w:i/>
          <w:iCs/>
          <w:color w:val="666666"/>
          <w:sz w:val="17"/>
          <w:szCs w:val="17"/>
        </w:rPr>
        <w:t xml:space="preserve">Figure 5: </w:t>
      </w:r>
      <w:proofErr w:type="spellStart"/>
      <w:r>
        <w:rPr>
          <w:i/>
          <w:iCs/>
          <w:color w:val="666666"/>
          <w:sz w:val="17"/>
          <w:szCs w:val="17"/>
        </w:rPr>
        <w:t>mithal.space</w:t>
      </w:r>
      <w:proofErr w:type="spellEnd"/>
      <w:r>
        <w:rPr>
          <w:i/>
          <w:iCs/>
          <w:color w:val="666666"/>
          <w:sz w:val="17"/>
          <w:szCs w:val="17"/>
        </w:rPr>
        <w:t xml:space="preserve"> - Request/response headers, including Referrer-Policy: strict-origin-when-cross-origin.</w:t>
      </w:r>
    </w:p>
    <w:p w14:paraId="03000F52" w14:textId="77777777" w:rsidR="007521EB" w:rsidRDefault="00000000">
      <w:pPr>
        <w:pStyle w:val="Heading1"/>
        <w:pBdr>
          <w:bottom w:val="single" w:sz="8" w:space="4" w:color="E55D00"/>
        </w:pBdr>
        <w:spacing w:before="320" w:after="160"/>
      </w:pPr>
      <w:r>
        <w:rPr>
          <w:b/>
          <w:bCs/>
          <w:color w:val="E55D00"/>
          <w:sz w:val="30"/>
          <w:szCs w:val="30"/>
        </w:rPr>
        <w:t>4. Comparison with Other Search Engines</w:t>
      </w:r>
    </w:p>
    <w:p w14:paraId="34587C2E" w14:textId="77777777" w:rsidR="007521EB" w:rsidRDefault="00000000">
      <w:pPr>
        <w:spacing w:after="120"/>
      </w:pPr>
      <w:proofErr w:type="spellStart"/>
      <w:r>
        <w:t>mithal.space</w:t>
      </w:r>
      <w:proofErr w:type="spellEnd"/>
      <w:r>
        <w:t xml:space="preserve"> was compared with Google Search (inspected directly via </w:t>
      </w:r>
      <w:proofErr w:type="spellStart"/>
      <w:r>
        <w:t>DevTools</w:t>
      </w:r>
      <w:proofErr w:type="spellEnd"/>
      <w:r>
        <w:t>) and, for additional context, DuckDuckGo (assessed from its publicly documented privacy practices rather than a live capture in this exercise).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600"/>
        <w:gridCol w:w="3600"/>
      </w:tblGrid>
      <w:tr w:rsidR="007521EB" w14:paraId="588A1251" w14:textId="77777777">
        <w:tblPrEx>
          <w:tblCellMar>
            <w:top w:w="0" w:type="dxa"/>
            <w:bottom w:w="0" w:type="dxa"/>
          </w:tblCellMar>
        </w:tblPrEx>
        <w:tc>
          <w:tcPr>
            <w:tcW w:w="2400" w:type="dxa"/>
            <w:shd w:val="clear" w:color="auto" w:fill="E55D00"/>
            <w:tcMar>
              <w:top w:w="80" w:type="dxa"/>
              <w:left w:w="100" w:type="dxa"/>
              <w:bottom w:w="80" w:type="dxa"/>
              <w:right w:w="100" w:type="dxa"/>
            </w:tcMar>
          </w:tcPr>
          <w:p w14:paraId="41A0BDD1" w14:textId="77777777" w:rsidR="007521EB" w:rsidRDefault="00000000">
            <w:r>
              <w:rPr>
                <w:b/>
                <w:bCs/>
                <w:color w:val="FFFFFF"/>
                <w:sz w:val="19"/>
                <w:szCs w:val="19"/>
              </w:rPr>
              <w:t>Criterion</w:t>
            </w:r>
          </w:p>
        </w:tc>
        <w:tc>
          <w:tcPr>
            <w:tcW w:w="3600" w:type="dxa"/>
            <w:shd w:val="clear" w:color="auto" w:fill="E55D00"/>
            <w:tcMar>
              <w:top w:w="80" w:type="dxa"/>
              <w:left w:w="100" w:type="dxa"/>
              <w:bottom w:w="80" w:type="dxa"/>
              <w:right w:w="100" w:type="dxa"/>
            </w:tcMar>
          </w:tcPr>
          <w:p w14:paraId="4E9EC1E2" w14:textId="77777777" w:rsidR="007521EB" w:rsidRDefault="00000000">
            <w:proofErr w:type="spellStart"/>
            <w:r>
              <w:rPr>
                <w:b/>
                <w:bCs/>
                <w:color w:val="FFFFFF"/>
                <w:sz w:val="19"/>
                <w:szCs w:val="19"/>
              </w:rPr>
              <w:t>mithal.space</w:t>
            </w:r>
            <w:proofErr w:type="spellEnd"/>
            <w:r>
              <w:rPr>
                <w:b/>
                <w:bCs/>
                <w:color w:val="FFFFFF"/>
                <w:sz w:val="19"/>
                <w:szCs w:val="19"/>
              </w:rPr>
              <w:t xml:space="preserve"> (example.com)</w:t>
            </w:r>
          </w:p>
        </w:tc>
        <w:tc>
          <w:tcPr>
            <w:tcW w:w="3600" w:type="dxa"/>
            <w:shd w:val="clear" w:color="auto" w:fill="E55D00"/>
            <w:tcMar>
              <w:top w:w="80" w:type="dxa"/>
              <w:left w:w="100" w:type="dxa"/>
              <w:bottom w:w="80" w:type="dxa"/>
              <w:right w:w="100" w:type="dxa"/>
            </w:tcMar>
          </w:tcPr>
          <w:p w14:paraId="3B80D577" w14:textId="77777777" w:rsidR="007521EB" w:rsidRDefault="00000000">
            <w:r>
              <w:rPr>
                <w:b/>
                <w:bCs/>
                <w:color w:val="FFFFFF"/>
                <w:sz w:val="19"/>
                <w:szCs w:val="19"/>
              </w:rPr>
              <w:t>Google.com</w:t>
            </w:r>
          </w:p>
        </w:tc>
      </w:tr>
      <w:tr w:rsidR="007521EB" w14:paraId="779BE876" w14:textId="77777777">
        <w:tblPrEx>
          <w:tblCellMar>
            <w:top w:w="0" w:type="dxa"/>
            <w:bottom w:w="0" w:type="dxa"/>
          </w:tblCellMar>
        </w:tblPrEx>
        <w:tc>
          <w:tcPr>
            <w:tcW w:w="2400" w:type="dxa"/>
            <w:tcMar>
              <w:top w:w="80" w:type="dxa"/>
              <w:left w:w="100" w:type="dxa"/>
              <w:bottom w:w="80" w:type="dxa"/>
              <w:right w:w="100" w:type="dxa"/>
            </w:tcMar>
          </w:tcPr>
          <w:p w14:paraId="43ED9055" w14:textId="77777777" w:rsidR="007521EB" w:rsidRDefault="00000000">
            <w:r>
              <w:rPr>
                <w:sz w:val="19"/>
                <w:szCs w:val="19"/>
              </w:rPr>
              <w:t>Cookies set on load</w:t>
            </w:r>
          </w:p>
        </w:tc>
        <w:tc>
          <w:tcPr>
            <w:tcW w:w="3600" w:type="dxa"/>
            <w:tcMar>
              <w:top w:w="80" w:type="dxa"/>
              <w:left w:w="100" w:type="dxa"/>
              <w:bottom w:w="80" w:type="dxa"/>
              <w:right w:w="100" w:type="dxa"/>
            </w:tcMar>
          </w:tcPr>
          <w:p w14:paraId="0BC6DDBB" w14:textId="77777777" w:rsidR="007521EB" w:rsidRDefault="00000000">
            <w:r>
              <w:rPr>
                <w:sz w:val="19"/>
                <w:szCs w:val="19"/>
              </w:rPr>
              <w:t>None observed (no cookies listed)</w:t>
            </w:r>
          </w:p>
        </w:tc>
        <w:tc>
          <w:tcPr>
            <w:tcW w:w="3600" w:type="dxa"/>
            <w:tcMar>
              <w:top w:w="80" w:type="dxa"/>
              <w:left w:w="100" w:type="dxa"/>
              <w:bottom w:w="80" w:type="dxa"/>
              <w:right w:w="100" w:type="dxa"/>
            </w:tcMar>
          </w:tcPr>
          <w:p w14:paraId="67350208" w14:textId="77777777" w:rsidR="007521EB" w:rsidRDefault="00000000">
            <w:r>
              <w:rPr>
                <w:sz w:val="19"/>
                <w:szCs w:val="19"/>
              </w:rPr>
              <w:t>Multiple, across google.com, play.google.com, accounts.google.com</w:t>
            </w:r>
          </w:p>
        </w:tc>
      </w:tr>
      <w:tr w:rsidR="007521EB" w14:paraId="3992FDAE" w14:textId="77777777">
        <w:tblPrEx>
          <w:tblCellMar>
            <w:top w:w="0" w:type="dxa"/>
            <w:bottom w:w="0" w:type="dxa"/>
          </w:tblCellMar>
        </w:tblPrEx>
        <w:tc>
          <w:tcPr>
            <w:tcW w:w="2400" w:type="dxa"/>
            <w:tcMar>
              <w:top w:w="80" w:type="dxa"/>
              <w:left w:w="100" w:type="dxa"/>
              <w:bottom w:w="80" w:type="dxa"/>
              <w:right w:w="100" w:type="dxa"/>
            </w:tcMar>
          </w:tcPr>
          <w:p w14:paraId="3331E4DD" w14:textId="77777777" w:rsidR="007521EB" w:rsidRDefault="00000000">
            <w:r>
              <w:rPr>
                <w:sz w:val="19"/>
                <w:szCs w:val="19"/>
              </w:rPr>
              <w:t>Network requests</w:t>
            </w:r>
          </w:p>
        </w:tc>
        <w:tc>
          <w:tcPr>
            <w:tcW w:w="3600" w:type="dxa"/>
            <w:tcMar>
              <w:top w:w="80" w:type="dxa"/>
              <w:left w:w="100" w:type="dxa"/>
              <w:bottom w:w="80" w:type="dxa"/>
              <w:right w:w="100" w:type="dxa"/>
            </w:tcMar>
          </w:tcPr>
          <w:p w14:paraId="1C25BEA4" w14:textId="77777777" w:rsidR="007521EB" w:rsidRDefault="00000000">
            <w:r>
              <w:rPr>
                <w:sz w:val="19"/>
                <w:szCs w:val="19"/>
              </w:rPr>
              <w:t>25 requests, ~228 kB transferred</w:t>
            </w:r>
          </w:p>
        </w:tc>
        <w:tc>
          <w:tcPr>
            <w:tcW w:w="3600" w:type="dxa"/>
            <w:tcMar>
              <w:top w:w="80" w:type="dxa"/>
              <w:left w:w="100" w:type="dxa"/>
              <w:bottom w:w="80" w:type="dxa"/>
              <w:right w:w="100" w:type="dxa"/>
            </w:tcMar>
          </w:tcPr>
          <w:p w14:paraId="6F0F5093" w14:textId="77777777" w:rsidR="007521EB" w:rsidRDefault="00000000">
            <w:r>
              <w:rPr>
                <w:sz w:val="19"/>
                <w:szCs w:val="19"/>
              </w:rPr>
              <w:t>75 requests, ~238 kB transferred, 4.3 MB total resources</w:t>
            </w:r>
          </w:p>
        </w:tc>
      </w:tr>
      <w:tr w:rsidR="007521EB" w14:paraId="26B32BC6" w14:textId="77777777">
        <w:tblPrEx>
          <w:tblCellMar>
            <w:top w:w="0" w:type="dxa"/>
            <w:bottom w:w="0" w:type="dxa"/>
          </w:tblCellMar>
        </w:tblPrEx>
        <w:tc>
          <w:tcPr>
            <w:tcW w:w="2400" w:type="dxa"/>
            <w:tcMar>
              <w:top w:w="80" w:type="dxa"/>
              <w:left w:w="100" w:type="dxa"/>
              <w:bottom w:w="80" w:type="dxa"/>
              <w:right w:w="100" w:type="dxa"/>
            </w:tcMar>
          </w:tcPr>
          <w:p w14:paraId="571AD3CD" w14:textId="77777777" w:rsidR="007521EB" w:rsidRDefault="00000000">
            <w:r>
              <w:rPr>
                <w:sz w:val="19"/>
                <w:szCs w:val="19"/>
              </w:rPr>
              <w:t>Third-party / telemetry calls</w:t>
            </w:r>
          </w:p>
        </w:tc>
        <w:tc>
          <w:tcPr>
            <w:tcW w:w="3600" w:type="dxa"/>
            <w:tcMar>
              <w:top w:w="80" w:type="dxa"/>
              <w:left w:w="100" w:type="dxa"/>
              <w:bottom w:w="80" w:type="dxa"/>
              <w:right w:w="100" w:type="dxa"/>
            </w:tcMar>
          </w:tcPr>
          <w:p w14:paraId="3B3C4646" w14:textId="77777777" w:rsidR="007521EB" w:rsidRDefault="00000000">
            <w:r>
              <w:rPr>
                <w:sz w:val="19"/>
                <w:szCs w:val="19"/>
              </w:rPr>
              <w:t>A few CDN/library scripts; extension content-scripts seen in the panel, not site code</w:t>
            </w:r>
          </w:p>
        </w:tc>
        <w:tc>
          <w:tcPr>
            <w:tcW w:w="3600" w:type="dxa"/>
            <w:tcMar>
              <w:top w:w="80" w:type="dxa"/>
              <w:left w:w="100" w:type="dxa"/>
              <w:bottom w:w="80" w:type="dxa"/>
              <w:right w:w="100" w:type="dxa"/>
            </w:tcMar>
          </w:tcPr>
          <w:p w14:paraId="1260CD5D" w14:textId="77777777" w:rsidR="007521EB" w:rsidRDefault="00000000">
            <w:r>
              <w:rPr>
                <w:sz w:val="19"/>
                <w:szCs w:val="19"/>
              </w:rPr>
              <w:t>Multiple log/ping endpoints with auth + hash parameters on nearly every load</w:t>
            </w:r>
          </w:p>
        </w:tc>
      </w:tr>
      <w:tr w:rsidR="007521EB" w14:paraId="16DB7BC8" w14:textId="77777777">
        <w:tblPrEx>
          <w:tblCellMar>
            <w:top w:w="0" w:type="dxa"/>
            <w:bottom w:w="0" w:type="dxa"/>
          </w:tblCellMar>
        </w:tblPrEx>
        <w:tc>
          <w:tcPr>
            <w:tcW w:w="2400" w:type="dxa"/>
            <w:tcMar>
              <w:top w:w="80" w:type="dxa"/>
              <w:left w:w="100" w:type="dxa"/>
              <w:bottom w:w="80" w:type="dxa"/>
              <w:right w:w="100" w:type="dxa"/>
            </w:tcMar>
          </w:tcPr>
          <w:p w14:paraId="42A30D3E" w14:textId="77777777" w:rsidR="007521EB" w:rsidRDefault="00000000">
            <w:r>
              <w:rPr>
                <w:sz w:val="19"/>
                <w:szCs w:val="19"/>
              </w:rPr>
              <w:t>TLS version</w:t>
            </w:r>
          </w:p>
        </w:tc>
        <w:tc>
          <w:tcPr>
            <w:tcW w:w="3600" w:type="dxa"/>
            <w:tcMar>
              <w:top w:w="80" w:type="dxa"/>
              <w:left w:w="100" w:type="dxa"/>
              <w:bottom w:w="80" w:type="dxa"/>
              <w:right w:w="100" w:type="dxa"/>
            </w:tcMar>
          </w:tcPr>
          <w:p w14:paraId="043FD3DA" w14:textId="77777777" w:rsidR="007521EB" w:rsidRDefault="00000000">
            <w:r>
              <w:rPr>
                <w:sz w:val="19"/>
                <w:szCs w:val="19"/>
              </w:rPr>
              <w:t>TLS 1.3</w:t>
            </w:r>
          </w:p>
        </w:tc>
        <w:tc>
          <w:tcPr>
            <w:tcW w:w="3600" w:type="dxa"/>
            <w:tcMar>
              <w:top w:w="80" w:type="dxa"/>
              <w:left w:w="100" w:type="dxa"/>
              <w:bottom w:w="80" w:type="dxa"/>
              <w:right w:w="100" w:type="dxa"/>
            </w:tcMar>
          </w:tcPr>
          <w:p w14:paraId="1FAEFAE2" w14:textId="77777777" w:rsidR="007521EB" w:rsidRDefault="00000000">
            <w:r>
              <w:rPr>
                <w:sz w:val="19"/>
                <w:szCs w:val="19"/>
              </w:rPr>
              <w:t>TLS 1.3</w:t>
            </w:r>
          </w:p>
        </w:tc>
      </w:tr>
      <w:tr w:rsidR="007521EB" w14:paraId="07F0E2B7" w14:textId="77777777">
        <w:tblPrEx>
          <w:tblCellMar>
            <w:top w:w="0" w:type="dxa"/>
            <w:bottom w:w="0" w:type="dxa"/>
          </w:tblCellMar>
        </w:tblPrEx>
        <w:tc>
          <w:tcPr>
            <w:tcW w:w="2400" w:type="dxa"/>
            <w:tcMar>
              <w:top w:w="80" w:type="dxa"/>
              <w:left w:w="100" w:type="dxa"/>
              <w:bottom w:w="80" w:type="dxa"/>
              <w:right w:w="100" w:type="dxa"/>
            </w:tcMar>
          </w:tcPr>
          <w:p w14:paraId="7D286CA9" w14:textId="77777777" w:rsidR="007521EB" w:rsidRDefault="00000000">
            <w:r>
              <w:rPr>
                <w:sz w:val="19"/>
                <w:szCs w:val="19"/>
              </w:rPr>
              <w:t>Key exchange</w:t>
            </w:r>
          </w:p>
        </w:tc>
        <w:tc>
          <w:tcPr>
            <w:tcW w:w="3600" w:type="dxa"/>
            <w:tcMar>
              <w:top w:w="80" w:type="dxa"/>
              <w:left w:w="100" w:type="dxa"/>
              <w:bottom w:w="80" w:type="dxa"/>
              <w:right w:w="100" w:type="dxa"/>
            </w:tcMar>
          </w:tcPr>
          <w:p w14:paraId="12DD9AC4" w14:textId="77777777" w:rsidR="007521EB" w:rsidRDefault="00000000">
            <w:r>
              <w:rPr>
                <w:sz w:val="19"/>
                <w:szCs w:val="19"/>
              </w:rPr>
              <w:t>X25519MLKEM768 (post-quantum hybrid)</w:t>
            </w:r>
          </w:p>
        </w:tc>
        <w:tc>
          <w:tcPr>
            <w:tcW w:w="3600" w:type="dxa"/>
            <w:tcMar>
              <w:top w:w="80" w:type="dxa"/>
              <w:left w:w="100" w:type="dxa"/>
              <w:bottom w:w="80" w:type="dxa"/>
              <w:right w:w="100" w:type="dxa"/>
            </w:tcMar>
          </w:tcPr>
          <w:p w14:paraId="5A86FEFC" w14:textId="77777777" w:rsidR="007521EB" w:rsidRDefault="00000000">
            <w:r>
              <w:rPr>
                <w:sz w:val="19"/>
                <w:szCs w:val="19"/>
              </w:rPr>
              <w:t>Not shown / standard ECDHE</w:t>
            </w:r>
          </w:p>
        </w:tc>
      </w:tr>
      <w:tr w:rsidR="007521EB" w14:paraId="31B33534" w14:textId="77777777">
        <w:tblPrEx>
          <w:tblCellMar>
            <w:top w:w="0" w:type="dxa"/>
            <w:bottom w:w="0" w:type="dxa"/>
          </w:tblCellMar>
        </w:tblPrEx>
        <w:tc>
          <w:tcPr>
            <w:tcW w:w="2400" w:type="dxa"/>
            <w:tcMar>
              <w:top w:w="80" w:type="dxa"/>
              <w:left w:w="100" w:type="dxa"/>
              <w:bottom w:w="80" w:type="dxa"/>
              <w:right w:w="100" w:type="dxa"/>
            </w:tcMar>
          </w:tcPr>
          <w:p w14:paraId="3F363FCD" w14:textId="77777777" w:rsidR="007521EB" w:rsidRDefault="00000000">
            <w:r>
              <w:rPr>
                <w:sz w:val="19"/>
                <w:szCs w:val="19"/>
              </w:rPr>
              <w:t>Cipher</w:t>
            </w:r>
          </w:p>
        </w:tc>
        <w:tc>
          <w:tcPr>
            <w:tcW w:w="3600" w:type="dxa"/>
            <w:tcMar>
              <w:top w:w="80" w:type="dxa"/>
              <w:left w:w="100" w:type="dxa"/>
              <w:bottom w:w="80" w:type="dxa"/>
              <w:right w:w="100" w:type="dxa"/>
            </w:tcMar>
          </w:tcPr>
          <w:p w14:paraId="1F3A7397" w14:textId="77777777" w:rsidR="007521EB" w:rsidRDefault="00000000">
            <w:r>
              <w:rPr>
                <w:sz w:val="19"/>
                <w:szCs w:val="19"/>
              </w:rPr>
              <w:t>AES_128_GCM</w:t>
            </w:r>
          </w:p>
        </w:tc>
        <w:tc>
          <w:tcPr>
            <w:tcW w:w="3600" w:type="dxa"/>
            <w:tcMar>
              <w:top w:w="80" w:type="dxa"/>
              <w:left w:w="100" w:type="dxa"/>
              <w:bottom w:w="80" w:type="dxa"/>
              <w:right w:w="100" w:type="dxa"/>
            </w:tcMar>
          </w:tcPr>
          <w:p w14:paraId="207132B6" w14:textId="77777777" w:rsidR="007521EB" w:rsidRDefault="00000000">
            <w:r>
              <w:rPr>
                <w:sz w:val="19"/>
                <w:szCs w:val="19"/>
              </w:rPr>
              <w:t>AES_128_GCM</w:t>
            </w:r>
          </w:p>
        </w:tc>
      </w:tr>
      <w:tr w:rsidR="007521EB" w14:paraId="5B8C3981" w14:textId="77777777">
        <w:tblPrEx>
          <w:tblCellMar>
            <w:top w:w="0" w:type="dxa"/>
            <w:bottom w:w="0" w:type="dxa"/>
          </w:tblCellMar>
        </w:tblPrEx>
        <w:tc>
          <w:tcPr>
            <w:tcW w:w="2400" w:type="dxa"/>
            <w:tcMar>
              <w:top w:w="80" w:type="dxa"/>
              <w:left w:w="100" w:type="dxa"/>
              <w:bottom w:w="80" w:type="dxa"/>
              <w:right w:w="100" w:type="dxa"/>
            </w:tcMar>
          </w:tcPr>
          <w:p w14:paraId="430CD180" w14:textId="77777777" w:rsidR="007521EB" w:rsidRDefault="00000000">
            <w:r>
              <w:rPr>
                <w:sz w:val="19"/>
                <w:szCs w:val="19"/>
              </w:rPr>
              <w:t>Response headers</w:t>
            </w:r>
          </w:p>
        </w:tc>
        <w:tc>
          <w:tcPr>
            <w:tcW w:w="3600" w:type="dxa"/>
            <w:tcMar>
              <w:top w:w="80" w:type="dxa"/>
              <w:left w:w="100" w:type="dxa"/>
              <w:bottom w:w="80" w:type="dxa"/>
              <w:right w:w="100" w:type="dxa"/>
            </w:tcMar>
          </w:tcPr>
          <w:p w14:paraId="5DCDEB86" w14:textId="77777777" w:rsidR="007521EB" w:rsidRDefault="00000000">
            <w:r>
              <w:rPr>
                <w:sz w:val="19"/>
                <w:szCs w:val="19"/>
              </w:rPr>
              <w:t>~12 headers, mostly standard (e.g. Referrer-Policy)</w:t>
            </w:r>
          </w:p>
        </w:tc>
        <w:tc>
          <w:tcPr>
            <w:tcW w:w="3600" w:type="dxa"/>
            <w:tcMar>
              <w:top w:w="80" w:type="dxa"/>
              <w:left w:w="100" w:type="dxa"/>
              <w:bottom w:w="80" w:type="dxa"/>
              <w:right w:w="100" w:type="dxa"/>
            </w:tcMar>
          </w:tcPr>
          <w:p w14:paraId="3FD14D38" w14:textId="77777777" w:rsidR="007521EB" w:rsidRDefault="00000000">
            <w:r>
              <w:rPr>
                <w:sz w:val="19"/>
                <w:szCs w:val="19"/>
              </w:rPr>
              <w:t>Large Client-Hints set (Sec-CH-UA-*, Sec-CH-Prefers-Color-Scheme, Sec-CH-RTT, Sec-CH-Downlink, etc.) plus Alt-Svc: h3</w:t>
            </w:r>
          </w:p>
        </w:tc>
      </w:tr>
      <w:tr w:rsidR="007521EB" w14:paraId="7ADB5981" w14:textId="77777777">
        <w:tblPrEx>
          <w:tblCellMar>
            <w:top w:w="0" w:type="dxa"/>
            <w:bottom w:w="0" w:type="dxa"/>
          </w:tblCellMar>
        </w:tblPrEx>
        <w:tc>
          <w:tcPr>
            <w:tcW w:w="2400" w:type="dxa"/>
            <w:tcMar>
              <w:top w:w="80" w:type="dxa"/>
              <w:left w:w="100" w:type="dxa"/>
              <w:bottom w:w="80" w:type="dxa"/>
              <w:right w:w="100" w:type="dxa"/>
            </w:tcMar>
          </w:tcPr>
          <w:p w14:paraId="2D86F3BD" w14:textId="77777777" w:rsidR="007521EB" w:rsidRDefault="00000000">
            <w:r>
              <w:rPr>
                <w:sz w:val="19"/>
                <w:szCs w:val="19"/>
              </w:rPr>
              <w:t>Overall exposure</w:t>
            </w:r>
          </w:p>
        </w:tc>
        <w:tc>
          <w:tcPr>
            <w:tcW w:w="3600" w:type="dxa"/>
            <w:tcMar>
              <w:top w:w="80" w:type="dxa"/>
              <w:left w:w="100" w:type="dxa"/>
              <w:bottom w:w="80" w:type="dxa"/>
              <w:right w:w="100" w:type="dxa"/>
            </w:tcMar>
          </w:tcPr>
          <w:p w14:paraId="2D416663" w14:textId="77777777" w:rsidR="007521EB" w:rsidRDefault="00000000">
            <w:r>
              <w:rPr>
                <w:sz w:val="19"/>
                <w:szCs w:val="19"/>
              </w:rPr>
              <w:t>Low - minimal cookies, small footprint</w:t>
            </w:r>
          </w:p>
        </w:tc>
        <w:tc>
          <w:tcPr>
            <w:tcW w:w="3600" w:type="dxa"/>
            <w:tcMar>
              <w:top w:w="80" w:type="dxa"/>
              <w:left w:w="100" w:type="dxa"/>
              <w:bottom w:w="80" w:type="dxa"/>
              <w:right w:w="100" w:type="dxa"/>
            </w:tcMar>
          </w:tcPr>
          <w:p w14:paraId="4101BDCE" w14:textId="77777777" w:rsidR="007521EB" w:rsidRDefault="00000000">
            <w:r>
              <w:rPr>
                <w:sz w:val="19"/>
                <w:szCs w:val="19"/>
              </w:rPr>
              <w:t>High - broad cookie use, heavy telemetry, fingerprinting-capable headers</w:t>
            </w:r>
          </w:p>
        </w:tc>
      </w:tr>
    </w:tbl>
    <w:p w14:paraId="4C05A99E" w14:textId="77777777" w:rsidR="007521EB" w:rsidRDefault="007521EB">
      <w:pPr>
        <w:spacing w:before="200" w:after="100"/>
      </w:pPr>
    </w:p>
    <w:p w14:paraId="1048E0B4" w14:textId="77777777" w:rsidR="007521EB" w:rsidRDefault="00000000">
      <w:pPr>
        <w:pStyle w:val="Heading2"/>
        <w:spacing w:before="240" w:after="100"/>
      </w:pPr>
      <w:r>
        <w:rPr>
          <w:b/>
          <w:bCs/>
          <w:color w:val="E55D00"/>
          <w:sz w:val="24"/>
          <w:szCs w:val="24"/>
        </w:rPr>
        <w:t>Google Search</w:t>
      </w:r>
    </w:p>
    <w:p w14:paraId="56E105BF" w14:textId="77777777" w:rsidR="007521EB" w:rsidRDefault="00000000">
      <w:pPr>
        <w:spacing w:after="120"/>
      </w:pPr>
      <w:r>
        <w:t>Google's Cookies panel listed cookies set across google.com, play.google.com, and accounts.google.com. Its Network panel captured 75 requests and 4.3 MB of resources, including repeated "log?" and "ping" calls carrying authentication and hash parameters - consistent with telemetry/analytics traffic fired on nearly every page load. Its response headers included a large set of Client Hints (Sec-CH-UA-Platform, Sec-CH-UA-Model, Sec-CH-UA-Full-</w:t>
      </w:r>
      <w:r>
        <w:lastRenderedPageBreak/>
        <w:t>Version-List, Sec-CH-Downlink, Sec-CH-RTT, Sec-CH-Prefers-Color-Scheme, etc.). These headers let a server request granular device and browser details, which can contribute to fingerprinting if combined across visits.</w:t>
      </w:r>
    </w:p>
    <w:p w14:paraId="11A65E9C" w14:textId="77777777" w:rsidR="007521EB" w:rsidRDefault="00000000">
      <w:pPr>
        <w:spacing w:before="160" w:after="40"/>
        <w:jc w:val="center"/>
      </w:pPr>
      <w:r>
        <w:rPr>
          <w:noProof/>
        </w:rPr>
        <w:drawing>
          <wp:inline distT="0" distB="0" distL="0" distR="0" wp14:anchorId="2D7A4B82" wp14:editId="47AF7738">
            <wp:extent cx="4381500" cy="2171700"/>
            <wp:effectExtent l="0" t="0" r="0" b="0"/>
            <wp:docPr id="1103876261" name="Picture 110387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381500" cy="2171700"/>
                    </a:xfrm>
                    <a:prstGeom prst="rect">
                      <a:avLst/>
                    </a:prstGeom>
                  </pic:spPr>
                </pic:pic>
              </a:graphicData>
            </a:graphic>
          </wp:inline>
        </w:drawing>
      </w:r>
    </w:p>
    <w:p w14:paraId="36884191" w14:textId="77777777" w:rsidR="007521EB" w:rsidRDefault="00000000">
      <w:pPr>
        <w:spacing w:after="160"/>
        <w:jc w:val="center"/>
      </w:pPr>
      <w:r>
        <w:rPr>
          <w:i/>
          <w:iCs/>
          <w:color w:val="666666"/>
          <w:sz w:val="17"/>
          <w:szCs w:val="17"/>
        </w:rPr>
        <w:t>Figure 6: google.com - Cookies in use panel: cookies set across google.com, play.google.com and accounts.google.com.</w:t>
      </w:r>
    </w:p>
    <w:p w14:paraId="244828AD" w14:textId="77777777" w:rsidR="007521EB" w:rsidRDefault="00000000">
      <w:pPr>
        <w:spacing w:before="160" w:after="40"/>
        <w:jc w:val="center"/>
      </w:pPr>
      <w:r>
        <w:rPr>
          <w:noProof/>
        </w:rPr>
        <w:drawing>
          <wp:inline distT="0" distB="0" distL="0" distR="0" wp14:anchorId="317D73A4" wp14:editId="34CA1B51">
            <wp:extent cx="4762500" cy="2371725"/>
            <wp:effectExtent l="0" t="0" r="0" b="0"/>
            <wp:docPr id="1132182264" name="Picture 113218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762500" cy="2371725"/>
                    </a:xfrm>
                    <a:prstGeom prst="rect">
                      <a:avLst/>
                    </a:prstGeom>
                  </pic:spPr>
                </pic:pic>
              </a:graphicData>
            </a:graphic>
          </wp:inline>
        </w:drawing>
      </w:r>
    </w:p>
    <w:p w14:paraId="7F4D35E2" w14:textId="77777777" w:rsidR="007521EB" w:rsidRDefault="00000000">
      <w:pPr>
        <w:spacing w:after="160"/>
        <w:jc w:val="center"/>
      </w:pPr>
      <w:r>
        <w:rPr>
          <w:i/>
          <w:iCs/>
          <w:color w:val="666666"/>
          <w:sz w:val="17"/>
          <w:szCs w:val="17"/>
        </w:rPr>
        <w:t>Figure 7: google.com - Security panel: TLS 1.3 with many additional secure sub-origins (</w:t>
      </w:r>
      <w:proofErr w:type="spellStart"/>
      <w:r>
        <w:rPr>
          <w:i/>
          <w:iCs/>
          <w:color w:val="666666"/>
          <w:sz w:val="17"/>
          <w:szCs w:val="17"/>
        </w:rPr>
        <w:t>gstatic</w:t>
      </w:r>
      <w:proofErr w:type="spellEnd"/>
      <w:r>
        <w:rPr>
          <w:i/>
          <w:iCs/>
          <w:color w:val="666666"/>
          <w:sz w:val="17"/>
          <w:szCs w:val="17"/>
        </w:rPr>
        <w:t>, accounts, play, extensions, etc.).</w:t>
      </w:r>
    </w:p>
    <w:p w14:paraId="5019126A" w14:textId="77777777" w:rsidR="007521EB" w:rsidRDefault="00000000">
      <w:pPr>
        <w:spacing w:before="160" w:after="40"/>
        <w:jc w:val="center"/>
      </w:pPr>
      <w:r>
        <w:rPr>
          <w:noProof/>
        </w:rPr>
        <w:drawing>
          <wp:inline distT="0" distB="0" distL="0" distR="0" wp14:anchorId="4886C9DE" wp14:editId="75FB2283">
            <wp:extent cx="4762500" cy="2362200"/>
            <wp:effectExtent l="0" t="0" r="0" b="0"/>
            <wp:docPr id="986373080" name="Picture 98637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762500" cy="2362200"/>
                    </a:xfrm>
                    <a:prstGeom prst="rect">
                      <a:avLst/>
                    </a:prstGeom>
                  </pic:spPr>
                </pic:pic>
              </a:graphicData>
            </a:graphic>
          </wp:inline>
        </w:drawing>
      </w:r>
    </w:p>
    <w:p w14:paraId="6CE45B53" w14:textId="77777777" w:rsidR="007521EB" w:rsidRDefault="00000000">
      <w:pPr>
        <w:spacing w:after="160"/>
        <w:jc w:val="center"/>
      </w:pPr>
      <w:r>
        <w:rPr>
          <w:i/>
          <w:iCs/>
          <w:color w:val="666666"/>
          <w:sz w:val="17"/>
          <w:szCs w:val="17"/>
        </w:rPr>
        <w:t>Figure 8: google.com - Network panel: 75 requests / 4.3 MB of resources, including recurring log/ping telemetry calls.</w:t>
      </w:r>
    </w:p>
    <w:p w14:paraId="0F9071CC" w14:textId="77777777" w:rsidR="007521EB" w:rsidRDefault="00000000">
      <w:pPr>
        <w:spacing w:before="160" w:after="40"/>
        <w:jc w:val="center"/>
      </w:pPr>
      <w:r>
        <w:rPr>
          <w:noProof/>
        </w:rPr>
        <w:lastRenderedPageBreak/>
        <w:drawing>
          <wp:inline distT="0" distB="0" distL="0" distR="0" wp14:anchorId="3E67E5C3" wp14:editId="32E65284">
            <wp:extent cx="4762500" cy="2362200"/>
            <wp:effectExtent l="0" t="0" r="0" b="0"/>
            <wp:docPr id="963589749" name="Picture 963589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762500" cy="2362200"/>
                    </a:xfrm>
                    <a:prstGeom prst="rect">
                      <a:avLst/>
                    </a:prstGeom>
                  </pic:spPr>
                </pic:pic>
              </a:graphicData>
            </a:graphic>
          </wp:inline>
        </w:drawing>
      </w:r>
    </w:p>
    <w:p w14:paraId="336A4F4A" w14:textId="77777777" w:rsidR="007521EB" w:rsidRDefault="00000000">
      <w:pPr>
        <w:spacing w:after="160"/>
        <w:jc w:val="center"/>
      </w:pPr>
      <w:r>
        <w:rPr>
          <w:i/>
          <w:iCs/>
          <w:color w:val="666666"/>
          <w:sz w:val="17"/>
          <w:szCs w:val="17"/>
        </w:rPr>
        <w:t>Figure 9: google.com - Response headers: an extensive set of Accept-CH / Sec-CH-UA-* Client Hints headers plus Alt-Svc: h3.</w:t>
      </w:r>
    </w:p>
    <w:p w14:paraId="10709BDC" w14:textId="77777777" w:rsidR="007521EB" w:rsidRDefault="00000000">
      <w:pPr>
        <w:pStyle w:val="Heading2"/>
        <w:spacing w:before="240" w:after="100"/>
      </w:pPr>
      <w:r>
        <w:rPr>
          <w:b/>
          <w:bCs/>
          <w:color w:val="E55D00"/>
          <w:sz w:val="24"/>
          <w:szCs w:val="24"/>
        </w:rPr>
        <w:t>DuckDuckGo (for reference)</w:t>
      </w:r>
    </w:p>
    <w:p w14:paraId="4B17EF75" w14:textId="77777777" w:rsidR="007521EB" w:rsidRDefault="00000000">
      <w:pPr>
        <w:spacing w:after="120"/>
      </w:pPr>
      <w:r>
        <w:t xml:space="preserve">DuckDuckGo is widely documented as not setting tracking cookies by default and not logging identifiable search queries. It is included here only as a general privacy-oriented reference point, since it was not captured in this </w:t>
      </w:r>
      <w:proofErr w:type="spellStart"/>
      <w:r>
        <w:t>DevTools</w:t>
      </w:r>
      <w:proofErr w:type="spellEnd"/>
      <w:r>
        <w:t xml:space="preserve"> session.</w:t>
      </w:r>
    </w:p>
    <w:p w14:paraId="704A3F9B" w14:textId="77777777" w:rsidR="007521EB" w:rsidRDefault="00000000">
      <w:pPr>
        <w:spacing w:after="120"/>
      </w:pPr>
      <w:r>
        <w:t xml:space="preserve">Overall, </w:t>
      </w:r>
      <w:proofErr w:type="spellStart"/>
      <w:r>
        <w:t>mithal.space's</w:t>
      </w:r>
      <w:proofErr w:type="spellEnd"/>
      <w:r>
        <w:t xml:space="preserve"> footprint (few requests, no cookies, no telemetry pings) is closer to a privacy-conscious engine like DuckDuckGo than to Google, whose scale, cookie use, and Client-Hints headers give it materially more data-collection surface.</w:t>
      </w:r>
    </w:p>
    <w:p w14:paraId="6B7710EC" w14:textId="77777777" w:rsidR="007521EB" w:rsidRDefault="00000000">
      <w:pPr>
        <w:pStyle w:val="Heading1"/>
        <w:pBdr>
          <w:bottom w:val="single" w:sz="8" w:space="4" w:color="E55D00"/>
        </w:pBdr>
        <w:spacing w:before="320" w:after="160"/>
      </w:pPr>
      <w:r>
        <w:rPr>
          <w:b/>
          <w:bCs/>
          <w:color w:val="E55D00"/>
          <w:sz w:val="30"/>
          <w:szCs w:val="30"/>
        </w:rPr>
        <w:t xml:space="preserve">5. Recommended Security &amp; Privacy Improvements for </w:t>
      </w:r>
      <w:proofErr w:type="spellStart"/>
      <w:r>
        <w:rPr>
          <w:b/>
          <w:bCs/>
          <w:color w:val="E55D00"/>
          <w:sz w:val="30"/>
          <w:szCs w:val="30"/>
        </w:rPr>
        <w:t>mithal.space</w:t>
      </w:r>
      <w:proofErr w:type="spellEnd"/>
    </w:p>
    <w:p w14:paraId="51D11210" w14:textId="77777777" w:rsidR="007521EB" w:rsidRDefault="00000000">
      <w:pPr>
        <w:pStyle w:val="ListParagraph"/>
        <w:numPr>
          <w:ilvl w:val="0"/>
          <w:numId w:val="2"/>
        </w:numPr>
        <w:spacing w:after="60"/>
      </w:pPr>
      <w:r>
        <w:rPr>
          <w:b/>
          <w:bCs/>
        </w:rPr>
        <w:t xml:space="preserve">1. Add a Content-Security-Policy and HSTS header. </w:t>
      </w:r>
      <w:r>
        <w:t>No CSP was observed in the captured response headers, so any injected or third-party script currently has broad ability to run on the page. A strict CSP (restricting script-</w:t>
      </w:r>
      <w:proofErr w:type="spellStart"/>
      <w:r>
        <w:t>src</w:t>
      </w:r>
      <w:proofErr w:type="spellEnd"/>
      <w:r>
        <w:t xml:space="preserve"> to self and explicitly trusted CDNs) plus Strict-Transport-Security with a long max-age and "preload" would harden the site against script injection and protocol-downgrade attacks.</w:t>
      </w:r>
    </w:p>
    <w:p w14:paraId="5CAED20B" w14:textId="77777777" w:rsidR="007521EB" w:rsidRDefault="00000000">
      <w:pPr>
        <w:pStyle w:val="ListParagraph"/>
        <w:numPr>
          <w:ilvl w:val="0"/>
          <w:numId w:val="2"/>
        </w:numPr>
        <w:spacing w:after="60"/>
      </w:pPr>
      <w:r>
        <w:rPr>
          <w:b/>
          <w:bCs/>
        </w:rPr>
        <w:t xml:space="preserve">2. Self-host or add </w:t>
      </w:r>
      <w:proofErr w:type="spellStart"/>
      <w:r>
        <w:rPr>
          <w:b/>
          <w:bCs/>
        </w:rPr>
        <w:t>Subresource</w:t>
      </w:r>
      <w:proofErr w:type="spellEnd"/>
      <w:r>
        <w:rPr>
          <w:b/>
          <w:bCs/>
        </w:rPr>
        <w:t xml:space="preserve"> Integrity (SRI) to third-party scripts. </w:t>
      </w:r>
      <w:r>
        <w:t xml:space="preserve">The site currently loads several libraries from external CDNs. Self-hosting them, or at minimum adding SRI hashes and </w:t>
      </w:r>
      <w:proofErr w:type="spellStart"/>
      <w:r>
        <w:t>crossorigin</w:t>
      </w:r>
      <w:proofErr w:type="spellEnd"/>
      <w:r>
        <w:t xml:space="preserve"> attributes, would prevent a compromised CDN from silently injecting malicious or tracking code, and would reduce the number of external parties the browser talks to.</w:t>
      </w:r>
    </w:p>
    <w:p w14:paraId="39BCCEDB" w14:textId="77777777" w:rsidR="007521EB" w:rsidRDefault="00000000">
      <w:pPr>
        <w:pStyle w:val="ListParagraph"/>
        <w:numPr>
          <w:ilvl w:val="0"/>
          <w:numId w:val="2"/>
        </w:numPr>
        <w:spacing w:after="60"/>
      </w:pPr>
      <w:r>
        <w:rPr>
          <w:b/>
          <w:bCs/>
        </w:rPr>
        <w:t xml:space="preserve">3. Prepare secure defaults for cookies and minimize Client Hints exposure. </w:t>
      </w:r>
      <w:proofErr w:type="spellStart"/>
      <w:r>
        <w:t>mithal.space</w:t>
      </w:r>
      <w:proofErr w:type="spellEnd"/>
      <w:r>
        <w:t xml:space="preserve"> currently sets no cookies, which is good - but if cookies are introduced later (e.g. for search preferences), they should be scoped with Secure, </w:t>
      </w:r>
      <w:proofErr w:type="spellStart"/>
      <w:r>
        <w:t>HttpOnly</w:t>
      </w:r>
      <w:proofErr w:type="spellEnd"/>
      <w:r>
        <w:t xml:space="preserve">, and </w:t>
      </w:r>
      <w:proofErr w:type="spellStart"/>
      <w:r>
        <w:t>SameSite</w:t>
      </w:r>
      <w:proofErr w:type="spellEnd"/>
      <w:r>
        <w:t>=Strict/Lax flags. The site should also avoid opting into broad Accept-CH client-hint requests (as seen on Google), requesting only the specific hints it actually needs, to keep its fingerprinting surface minimal as the product grows.</w:t>
      </w:r>
    </w:p>
    <w:p w14:paraId="1B587FC0" w14:textId="77777777" w:rsidR="007521EB" w:rsidRDefault="00000000">
      <w:pPr>
        <w:pStyle w:val="Heading1"/>
        <w:pBdr>
          <w:bottom w:val="single" w:sz="8" w:space="4" w:color="E55D00"/>
        </w:pBdr>
        <w:spacing w:before="320" w:after="160"/>
      </w:pPr>
      <w:r>
        <w:rPr>
          <w:b/>
          <w:bCs/>
          <w:color w:val="E55D00"/>
          <w:sz w:val="30"/>
          <w:szCs w:val="30"/>
        </w:rPr>
        <w:t>6. Conclusion</w:t>
      </w:r>
    </w:p>
    <w:p w14:paraId="2D29BA93" w14:textId="77777777" w:rsidR="007521EB" w:rsidRDefault="00000000">
      <w:pPr>
        <w:spacing w:after="120"/>
      </w:pPr>
      <w:r>
        <w:t xml:space="preserve">Based on this </w:t>
      </w:r>
      <w:proofErr w:type="spellStart"/>
      <w:r>
        <w:t>DevTools</w:t>
      </w:r>
      <w:proofErr w:type="spellEnd"/>
      <w:r>
        <w:t xml:space="preserve"> inspection, </w:t>
      </w:r>
      <w:proofErr w:type="spellStart"/>
      <w:r>
        <w:t>mithal.space</w:t>
      </w:r>
      <w:proofErr w:type="spellEnd"/>
      <w:r>
        <w:t xml:space="preserve"> demonstrates a privacy-friendly baseline: no cookies on load, a small and mostly first-party network footprint, and a modern, correctly configured TLS 1.3 setup. Its main gap relative to security best practice is the absence of hardening headers such as CSP and HSTS. Compared with Google, which sets multiple cookies, generates a much larger volume of telemetry-like traffic, and requests an extensive set of Client Hints, </w:t>
      </w:r>
      <w:proofErr w:type="spellStart"/>
      <w:r>
        <w:t>mithal.space</w:t>
      </w:r>
      <w:proofErr w:type="spellEnd"/>
      <w:r>
        <w:t xml:space="preserve"> collects and exposes considerably less user data. Implementing the three recommendations above would close most of the remaining gap between </w:t>
      </w:r>
      <w:proofErr w:type="spellStart"/>
      <w:r>
        <w:t>mithal.space</w:t>
      </w:r>
      <w:proofErr w:type="spellEnd"/>
      <w:r>
        <w:t xml:space="preserve"> and a best-practice privacy-preserving search engine.</w:t>
      </w:r>
    </w:p>
    <w:sectPr w:rsidR="007521EB">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75E7F"/>
    <w:multiLevelType w:val="hybridMultilevel"/>
    <w:tmpl w:val="3202D776"/>
    <w:lvl w:ilvl="0" w:tplc="40EC0556">
      <w:start w:val="1"/>
      <w:numFmt w:val="bullet"/>
      <w:lvlText w:val="●"/>
      <w:lvlJc w:val="left"/>
      <w:pPr>
        <w:ind w:left="720" w:hanging="360"/>
      </w:pPr>
    </w:lvl>
    <w:lvl w:ilvl="1" w:tplc="0CCEB860">
      <w:start w:val="1"/>
      <w:numFmt w:val="bullet"/>
      <w:lvlText w:val="○"/>
      <w:lvlJc w:val="left"/>
      <w:pPr>
        <w:ind w:left="1440" w:hanging="360"/>
      </w:pPr>
    </w:lvl>
    <w:lvl w:ilvl="2" w:tplc="D20CD412">
      <w:start w:val="1"/>
      <w:numFmt w:val="bullet"/>
      <w:lvlText w:val="■"/>
      <w:lvlJc w:val="left"/>
      <w:pPr>
        <w:ind w:left="2160" w:hanging="360"/>
      </w:pPr>
    </w:lvl>
    <w:lvl w:ilvl="3" w:tplc="6FE4FD76">
      <w:start w:val="1"/>
      <w:numFmt w:val="bullet"/>
      <w:lvlText w:val="●"/>
      <w:lvlJc w:val="left"/>
      <w:pPr>
        <w:ind w:left="2880" w:hanging="360"/>
      </w:pPr>
    </w:lvl>
    <w:lvl w:ilvl="4" w:tplc="40126A16">
      <w:start w:val="1"/>
      <w:numFmt w:val="bullet"/>
      <w:lvlText w:val="○"/>
      <w:lvlJc w:val="left"/>
      <w:pPr>
        <w:ind w:left="3600" w:hanging="360"/>
      </w:pPr>
    </w:lvl>
    <w:lvl w:ilvl="5" w:tplc="4F3887C0">
      <w:start w:val="1"/>
      <w:numFmt w:val="bullet"/>
      <w:lvlText w:val="■"/>
      <w:lvlJc w:val="left"/>
      <w:pPr>
        <w:ind w:left="4320" w:hanging="360"/>
      </w:pPr>
    </w:lvl>
    <w:lvl w:ilvl="6" w:tplc="67268070">
      <w:start w:val="1"/>
      <w:numFmt w:val="bullet"/>
      <w:lvlText w:val="●"/>
      <w:lvlJc w:val="left"/>
      <w:pPr>
        <w:ind w:left="5040" w:hanging="360"/>
      </w:pPr>
    </w:lvl>
    <w:lvl w:ilvl="7" w:tplc="BFA230C4">
      <w:start w:val="1"/>
      <w:numFmt w:val="bullet"/>
      <w:lvlText w:val="●"/>
      <w:lvlJc w:val="left"/>
      <w:pPr>
        <w:ind w:left="5760" w:hanging="360"/>
      </w:pPr>
    </w:lvl>
    <w:lvl w:ilvl="8" w:tplc="37D8B840">
      <w:start w:val="1"/>
      <w:numFmt w:val="bullet"/>
      <w:lvlText w:val="●"/>
      <w:lvlJc w:val="left"/>
      <w:pPr>
        <w:ind w:left="6480" w:hanging="360"/>
      </w:pPr>
    </w:lvl>
  </w:abstractNum>
  <w:abstractNum w:abstractNumId="1" w15:restartNumberingAfterBreak="0">
    <w:nsid w:val="526B2117"/>
    <w:multiLevelType w:val="hybridMultilevel"/>
    <w:tmpl w:val="29889622"/>
    <w:lvl w:ilvl="0" w:tplc="31DAECFA">
      <w:start w:val="1"/>
      <w:numFmt w:val="bullet"/>
      <w:lvlText w:val="•"/>
      <w:lvlJc w:val="left"/>
      <w:pPr>
        <w:ind w:left="420" w:hanging="260"/>
      </w:pPr>
    </w:lvl>
    <w:lvl w:ilvl="1" w:tplc="F97EE8F2">
      <w:numFmt w:val="decimal"/>
      <w:lvlText w:val=""/>
      <w:lvlJc w:val="left"/>
    </w:lvl>
    <w:lvl w:ilvl="2" w:tplc="183C2AB6">
      <w:numFmt w:val="decimal"/>
      <w:lvlText w:val=""/>
      <w:lvlJc w:val="left"/>
    </w:lvl>
    <w:lvl w:ilvl="3" w:tplc="ED7427FE">
      <w:numFmt w:val="decimal"/>
      <w:lvlText w:val=""/>
      <w:lvlJc w:val="left"/>
    </w:lvl>
    <w:lvl w:ilvl="4" w:tplc="80A0F498">
      <w:numFmt w:val="decimal"/>
      <w:lvlText w:val=""/>
      <w:lvlJc w:val="left"/>
    </w:lvl>
    <w:lvl w:ilvl="5" w:tplc="FBFED644">
      <w:numFmt w:val="decimal"/>
      <w:lvlText w:val=""/>
      <w:lvlJc w:val="left"/>
    </w:lvl>
    <w:lvl w:ilvl="6" w:tplc="9A52A5B8">
      <w:numFmt w:val="decimal"/>
      <w:lvlText w:val=""/>
      <w:lvlJc w:val="left"/>
    </w:lvl>
    <w:lvl w:ilvl="7" w:tplc="08A26BD6">
      <w:numFmt w:val="decimal"/>
      <w:lvlText w:val=""/>
      <w:lvlJc w:val="left"/>
    </w:lvl>
    <w:lvl w:ilvl="8" w:tplc="8F08A25E">
      <w:numFmt w:val="decimal"/>
      <w:lvlText w:val=""/>
      <w:lvlJc w:val="left"/>
    </w:lvl>
  </w:abstractNum>
  <w:num w:numId="1" w16cid:durableId="1071853186">
    <w:abstractNumId w:val="0"/>
    <w:lvlOverride w:ilvl="0">
      <w:startOverride w:val="1"/>
    </w:lvlOverride>
  </w:num>
  <w:num w:numId="2" w16cid:durableId="3701522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1EB"/>
    <w:rsid w:val="00460A0D"/>
    <w:rsid w:val="007521EB"/>
    <w:rsid w:val="00C911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24F7"/>
  <w15:docId w15:val="{9608EC26-0297-48E2-A4F0-AC7DA479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B2B2B"/>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1276</Words>
  <Characters>7278</Characters>
  <Application>Microsoft Office Word</Application>
  <DocSecurity>0</DocSecurity>
  <Lines>60</Lines>
  <Paragraphs>17</Paragraphs>
  <ScaleCrop>false</ScaleCrop>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Student .</cp:lastModifiedBy>
  <cp:revision>2</cp:revision>
  <dcterms:created xsi:type="dcterms:W3CDTF">2026-07-27T18:15:00Z</dcterms:created>
  <dcterms:modified xsi:type="dcterms:W3CDTF">2026-07-27T18:25:00Z</dcterms:modified>
</cp:coreProperties>
</file>