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C760B" w14:textId="77777777" w:rsidR="001D7196" w:rsidRPr="00953C80" w:rsidRDefault="00000000">
      <w:pPr>
        <w:pStyle w:val="Title"/>
        <w:jc w:val="center"/>
        <w:rPr>
          <w:color w:val="E55D00"/>
        </w:rPr>
      </w:pPr>
      <w:r w:rsidRPr="00953C80">
        <w:rPr>
          <w:color w:val="E55D00"/>
        </w:rPr>
        <w:t>Ghaymah Systems - Cloud Infrastructure Security Checklist</w:t>
      </w:r>
    </w:p>
    <w:p w14:paraId="47B95D3D" w14:textId="77777777" w:rsidR="001D7196" w:rsidRDefault="00000000">
      <w:pPr>
        <w:jc w:val="center"/>
      </w:pPr>
      <w:r>
        <w:rPr>
          <w:i/>
          <w:sz w:val="24"/>
        </w:rPr>
        <w:t>Comprehensive 15-Point Security Baseline based on CISA, NIST, CIS, and OWASP</w:t>
      </w:r>
    </w:p>
    <w:p w14:paraId="2D3AB8EA" w14:textId="77777777" w:rsidR="001D7196" w:rsidRDefault="00000000">
      <w:r>
        <w:br/>
      </w:r>
    </w:p>
    <w:p w14:paraId="40D4B4FC" w14:textId="77777777" w:rsidR="001D7196" w:rsidRPr="00953C80" w:rsidRDefault="00000000">
      <w:pPr>
        <w:pStyle w:val="Heading1"/>
        <w:rPr>
          <w:color w:val="E55D00"/>
        </w:rPr>
      </w:pPr>
      <w:r w:rsidRPr="00953C80">
        <w:rPr>
          <w:color w:val="E55D00"/>
        </w:rPr>
        <w:t>Executive Summary</w:t>
      </w:r>
    </w:p>
    <w:p w14:paraId="3B30086E" w14:textId="77777777" w:rsidR="001D7196" w:rsidRDefault="00000000">
      <w:r>
        <w:t>As a Cloud Security Architect designing the security posture for Ghaymah (ghaymah.systems), this framework is engineered specifically for our architecture as a leading cloud provider. Given our scale and the direct infrastructure access we provide, our threat landscape is complex. This 15-point master policy provides 90%+ coverage against the most critical cloud attack vectors by integrating strict guidelines from CISA, NIST, CIS, and OWASP.</w:t>
      </w:r>
    </w:p>
    <w:p w14:paraId="3CC0387B" w14:textId="77777777" w:rsidR="001D7196" w:rsidRPr="00953C80" w:rsidRDefault="00000000">
      <w:pPr>
        <w:pStyle w:val="Heading1"/>
        <w:rPr>
          <w:color w:val="E55D00"/>
        </w:rPr>
      </w:pPr>
      <w:r w:rsidRPr="00953C80">
        <w:rPr>
          <w:color w:val="E55D00"/>
        </w:rPr>
        <w:t>1. Identity &amp; Access Management (IAM)</w:t>
      </w:r>
    </w:p>
    <w:p w14:paraId="35439C54" w14:textId="77777777" w:rsidR="001D7196" w:rsidRPr="00953C80" w:rsidRDefault="00000000">
      <w:pPr>
        <w:pStyle w:val="IntenseQuote"/>
        <w:rPr>
          <w:color w:val="E55D00"/>
        </w:rPr>
      </w:pPr>
      <w:r w:rsidRPr="00953C80">
        <w:rPr>
          <w:color w:val="E55D00"/>
        </w:rPr>
        <w:t>The control plane is the perimeter of the cloud. If our IAM is compromised, the entire Ghaymah infrastructure falls.</w:t>
      </w:r>
    </w:p>
    <w:p w14:paraId="7DD10D97" w14:textId="77777777" w:rsidR="001D7196" w:rsidRPr="00953C80" w:rsidRDefault="00000000">
      <w:pPr>
        <w:pStyle w:val="Heading2"/>
        <w:rPr>
          <w:color w:val="E55D00"/>
        </w:rPr>
      </w:pPr>
      <w:r w:rsidRPr="00953C80">
        <w:rPr>
          <w:color w:val="E55D00"/>
        </w:rPr>
        <w:t>1.1. Enforce Phishing-Resistant MFA &amp; Context-Aware Access</w:t>
      </w:r>
    </w:p>
    <w:p w14:paraId="58035A35" w14:textId="77777777" w:rsidR="001D7196" w:rsidRDefault="00000000">
      <w:pPr>
        <w:pStyle w:val="ListBullet"/>
      </w:pPr>
      <w:r>
        <w:t>Rule: Mandate FIDO2/WebAuthn hardware security keys and block SMS-based MFA for administrative and production access.</w:t>
      </w:r>
    </w:p>
    <w:p w14:paraId="13A882F1" w14:textId="77777777" w:rsidR="001D7196" w:rsidRDefault="00000000">
      <w:pPr>
        <w:pStyle w:val="ListBullet"/>
      </w:pPr>
      <w:r>
        <w:t>Why for Ghaymah: Ghaymah engineers possess the 'keys to the kingdom.' Standard MFA is vulnerable to SIM swapping and fatigue attacks.</w:t>
      </w:r>
    </w:p>
    <w:p w14:paraId="42B4094E" w14:textId="77777777" w:rsidR="001D7196" w:rsidRDefault="00000000">
      <w:pPr>
        <w:pStyle w:val="ListBullet"/>
      </w:pPr>
      <w:r>
        <w:t>Source: CISA Zero Trust Maturity Model / NIST SP 800-63B</w:t>
      </w:r>
    </w:p>
    <w:p w14:paraId="0FD5C031" w14:textId="77777777" w:rsidR="001D7196" w:rsidRPr="00953C80" w:rsidRDefault="00000000">
      <w:pPr>
        <w:pStyle w:val="Heading2"/>
        <w:rPr>
          <w:color w:val="E55D00"/>
        </w:rPr>
      </w:pPr>
      <w:r w:rsidRPr="00953C80">
        <w:rPr>
          <w:color w:val="E55D00"/>
        </w:rPr>
        <w:t>1.2. Implement Just-in-Time (JIT) Privileges and Zero Standing Access</w:t>
      </w:r>
    </w:p>
    <w:p w14:paraId="163ADCE3" w14:textId="77777777" w:rsidR="001D7196" w:rsidRDefault="00000000">
      <w:pPr>
        <w:pStyle w:val="ListBullet"/>
      </w:pPr>
      <w:r>
        <w:t>Rule: Eliminate persistent standing privileges. Access must be temporary, time-bound (e.g., 1-4 hours), and heavily logged.</w:t>
      </w:r>
    </w:p>
    <w:p w14:paraId="6B38B612" w14:textId="77777777" w:rsidR="001D7196" w:rsidRDefault="00000000">
      <w:pPr>
        <w:pStyle w:val="ListBullet"/>
      </w:pPr>
      <w:r>
        <w:t>Why for Ghaymah: Drastically reduces the blast radius if an engineer's workstation is compromised.</w:t>
      </w:r>
    </w:p>
    <w:p w14:paraId="79ADC6EC" w14:textId="77777777" w:rsidR="001D7196" w:rsidRDefault="00000000">
      <w:pPr>
        <w:pStyle w:val="ListBullet"/>
      </w:pPr>
      <w:r>
        <w:t>Source: CISA Cloud Security Technical Reference Architecture</w:t>
      </w:r>
    </w:p>
    <w:p w14:paraId="1AB54BA4" w14:textId="77777777" w:rsidR="001D7196" w:rsidRPr="00953C80" w:rsidRDefault="00000000">
      <w:pPr>
        <w:pStyle w:val="Heading2"/>
        <w:rPr>
          <w:color w:val="E55D00"/>
        </w:rPr>
      </w:pPr>
      <w:r w:rsidRPr="00953C80">
        <w:rPr>
          <w:color w:val="E55D00"/>
        </w:rPr>
        <w:t>1.3. Centralize Secrets Management &amp; Prohibit Hardcoded Credentials</w:t>
      </w:r>
    </w:p>
    <w:p w14:paraId="38238874" w14:textId="77777777" w:rsidR="001D7196" w:rsidRDefault="00000000">
      <w:pPr>
        <w:pStyle w:val="ListBullet"/>
      </w:pPr>
      <w:r>
        <w:t>Rule: Use a centralized secrets vault with auto-rotation (30-90 days). Never hardcode API keys or credentials in code or containers.</w:t>
      </w:r>
    </w:p>
    <w:p w14:paraId="4636949F" w14:textId="77777777" w:rsidR="001D7196" w:rsidRDefault="00000000">
      <w:pPr>
        <w:pStyle w:val="ListBullet"/>
      </w:pPr>
      <w:r>
        <w:lastRenderedPageBreak/>
        <w:t>Why for Ghaymah: Protects our CI/CD pipelines and internal repositories from supply-chain credential leaks.</w:t>
      </w:r>
    </w:p>
    <w:p w14:paraId="36F0605E" w14:textId="77777777" w:rsidR="001D7196" w:rsidRDefault="00000000">
      <w:pPr>
        <w:pStyle w:val="ListBullet"/>
      </w:pPr>
      <w:r>
        <w:t>Source: NIST SP 800-53 / CIS Controls v8</w:t>
      </w:r>
    </w:p>
    <w:p w14:paraId="3EADD05D" w14:textId="77777777" w:rsidR="001D7196" w:rsidRPr="00953C80" w:rsidRDefault="00000000">
      <w:pPr>
        <w:pStyle w:val="Heading1"/>
        <w:rPr>
          <w:color w:val="E55D00"/>
        </w:rPr>
      </w:pPr>
      <w:r w:rsidRPr="00953C80">
        <w:rPr>
          <w:color w:val="E55D00"/>
        </w:rPr>
        <w:t>2. Container &amp; Kubernetes Security</w:t>
      </w:r>
    </w:p>
    <w:p w14:paraId="2D1F4DF0" w14:textId="77777777" w:rsidR="001D7196" w:rsidRPr="00953C80" w:rsidRDefault="00000000">
      <w:pPr>
        <w:pStyle w:val="IntenseQuote"/>
        <w:rPr>
          <w:color w:val="E55D00"/>
        </w:rPr>
      </w:pPr>
      <w:r w:rsidRPr="00953C80">
        <w:rPr>
          <w:color w:val="E55D00"/>
        </w:rPr>
        <w:t>Ghaymah provides container orchestration and rapid deployments. We must secure the container lifecycle from build to runtime.</w:t>
      </w:r>
    </w:p>
    <w:p w14:paraId="24FDB4F9" w14:textId="77777777" w:rsidR="001D7196" w:rsidRPr="00953C80" w:rsidRDefault="00000000">
      <w:pPr>
        <w:pStyle w:val="Heading2"/>
        <w:rPr>
          <w:color w:val="E55D00"/>
        </w:rPr>
      </w:pPr>
      <w:r w:rsidRPr="00953C80">
        <w:rPr>
          <w:color w:val="E55D00"/>
        </w:rPr>
        <w:t>2.1. Enforce Immutable, Signed Container Images</w:t>
      </w:r>
    </w:p>
    <w:p w14:paraId="3414848E" w14:textId="77777777" w:rsidR="001D7196" w:rsidRDefault="00000000">
      <w:pPr>
        <w:pStyle w:val="ListBullet"/>
      </w:pPr>
      <w:r>
        <w:t>Rule: Mandate image scanning in CI/CD (block critical CVEs) and enforce cryptographic signatures (e.g., Cosign) before deployment.</w:t>
      </w:r>
    </w:p>
    <w:p w14:paraId="122E1C19" w14:textId="77777777" w:rsidR="001D7196" w:rsidRDefault="00000000">
      <w:pPr>
        <w:pStyle w:val="ListBullet"/>
      </w:pPr>
      <w:r>
        <w:t>Why for Ghaymah: Prevents software supply chain attacks and ensures only trusted code runs on our multi-tenant nodes.</w:t>
      </w:r>
    </w:p>
    <w:p w14:paraId="0DF89CC3" w14:textId="77777777" w:rsidR="001D7196" w:rsidRDefault="00000000">
      <w:pPr>
        <w:pStyle w:val="ListBullet"/>
      </w:pPr>
      <w:r>
        <w:t>Source: NIST SP 800-190 / CISA Supply Chain Guidelines</w:t>
      </w:r>
    </w:p>
    <w:p w14:paraId="15A2A8BA" w14:textId="77777777" w:rsidR="001D7196" w:rsidRPr="00953C80" w:rsidRDefault="00000000">
      <w:pPr>
        <w:pStyle w:val="Heading2"/>
        <w:rPr>
          <w:color w:val="E55D00"/>
        </w:rPr>
      </w:pPr>
      <w:r w:rsidRPr="00953C80">
        <w:rPr>
          <w:color w:val="E55D00"/>
        </w:rPr>
        <w:t>2.2. Isolate Workloads (Rootless &amp; Read-Only)</w:t>
      </w:r>
    </w:p>
    <w:p w14:paraId="1C2FB0C7" w14:textId="77777777" w:rsidR="001D7196" w:rsidRDefault="00000000">
      <w:pPr>
        <w:pStyle w:val="ListBullet"/>
      </w:pPr>
      <w:r>
        <w:t>Rule: Run containers as non-root users, enforce read-only filesystems, and drop unnecessary Linux capabilities.</w:t>
      </w:r>
    </w:p>
    <w:p w14:paraId="6C9D8786" w14:textId="77777777" w:rsidR="001D7196" w:rsidRDefault="00000000">
      <w:pPr>
        <w:pStyle w:val="ListBullet"/>
      </w:pPr>
      <w:r>
        <w:t>Why for Ghaymah: Our primary defense against 'container escape' vulnerabilities, preventing tenants from compromising the underlying host node.</w:t>
      </w:r>
    </w:p>
    <w:p w14:paraId="72651996" w14:textId="77777777" w:rsidR="001D7196" w:rsidRDefault="00000000">
      <w:pPr>
        <w:pStyle w:val="ListBullet"/>
      </w:pPr>
      <w:r>
        <w:t>Source: CIS Kubernetes &amp; Docker Benchmarks</w:t>
      </w:r>
    </w:p>
    <w:p w14:paraId="2B937DB7" w14:textId="77777777" w:rsidR="001D7196" w:rsidRPr="00953C80" w:rsidRDefault="00000000">
      <w:pPr>
        <w:pStyle w:val="Heading2"/>
        <w:rPr>
          <w:color w:val="E55D00"/>
        </w:rPr>
      </w:pPr>
      <w:r w:rsidRPr="00953C80">
        <w:rPr>
          <w:color w:val="E55D00"/>
        </w:rPr>
        <w:t>2.3. Continuous Runtime Security &amp; eBPF</w:t>
      </w:r>
    </w:p>
    <w:p w14:paraId="544A9073" w14:textId="77777777" w:rsidR="001D7196" w:rsidRDefault="00000000">
      <w:pPr>
        <w:pStyle w:val="ListBullet"/>
      </w:pPr>
      <w:r>
        <w:t>Rule: Deploy eBPF-based runtime monitoring (e.g., Falco/Cilium) to detect anomalous behavior (unexpected shells, outbound connections) in real-time.</w:t>
      </w:r>
    </w:p>
    <w:p w14:paraId="4B9463BE" w14:textId="77777777" w:rsidR="001D7196" w:rsidRDefault="00000000">
      <w:pPr>
        <w:pStyle w:val="ListBullet"/>
      </w:pPr>
      <w:r>
        <w:t>Why for Ghaymah: Pre-deployment scanning misses zero-days. Runtime monitoring catches active exploitation.</w:t>
      </w:r>
    </w:p>
    <w:p w14:paraId="16C3534E" w14:textId="77777777" w:rsidR="001D7196" w:rsidRDefault="00000000">
      <w:pPr>
        <w:pStyle w:val="ListBullet"/>
      </w:pPr>
      <w:r>
        <w:t>Source: CISA Cloud Security TRA / CIS Benchmarks</w:t>
      </w:r>
    </w:p>
    <w:p w14:paraId="5E5FA4A9" w14:textId="77777777" w:rsidR="001D7196" w:rsidRPr="00953C80" w:rsidRDefault="00000000">
      <w:pPr>
        <w:pStyle w:val="Heading1"/>
        <w:rPr>
          <w:color w:val="E55D00"/>
        </w:rPr>
      </w:pPr>
      <w:r w:rsidRPr="00953C80">
        <w:rPr>
          <w:color w:val="E55D00"/>
        </w:rPr>
        <w:t>3. Network Security &amp; Cloud Edge</w:t>
      </w:r>
    </w:p>
    <w:p w14:paraId="163CD29F" w14:textId="77777777" w:rsidR="001D7196" w:rsidRPr="00953C80" w:rsidRDefault="00000000">
      <w:pPr>
        <w:pStyle w:val="Heading2"/>
        <w:rPr>
          <w:color w:val="E55D00"/>
        </w:rPr>
      </w:pPr>
      <w:r w:rsidRPr="00953C80">
        <w:rPr>
          <w:color w:val="E55D00"/>
        </w:rPr>
        <w:t>3.1. Zero Trust Micro-segmentation</w:t>
      </w:r>
    </w:p>
    <w:p w14:paraId="3668CE77" w14:textId="77777777" w:rsidR="001D7196" w:rsidRDefault="00000000">
      <w:pPr>
        <w:pStyle w:val="ListBullet"/>
      </w:pPr>
      <w:r>
        <w:t>Rule: Isolate environments (Prod, Staging, Mgmt) in separate VPCs. Enforce strict egress filtering and default-deny network policies.</w:t>
      </w:r>
    </w:p>
    <w:p w14:paraId="6DC5879D" w14:textId="77777777" w:rsidR="001D7196" w:rsidRDefault="00000000">
      <w:pPr>
        <w:pStyle w:val="ListBullet"/>
      </w:pPr>
      <w:r>
        <w:t>Why for Ghaymah: Prevents lateral movement. If a tenant application is breached, the attacker cannot pivot to internal Ghaymah management planes.</w:t>
      </w:r>
    </w:p>
    <w:p w14:paraId="4DF090D0" w14:textId="77777777" w:rsidR="001D7196" w:rsidRDefault="00000000">
      <w:pPr>
        <w:pStyle w:val="ListBullet"/>
      </w:pPr>
      <w:r>
        <w:t>Source: NIST SP 800-207 / CISA Zero Trust Maturity Model</w:t>
      </w:r>
    </w:p>
    <w:p w14:paraId="20F0624B" w14:textId="77777777" w:rsidR="001D7196" w:rsidRPr="00953C80" w:rsidRDefault="00000000">
      <w:pPr>
        <w:pStyle w:val="Heading2"/>
        <w:rPr>
          <w:color w:val="E55D00"/>
        </w:rPr>
      </w:pPr>
      <w:r w:rsidRPr="00953C80">
        <w:rPr>
          <w:color w:val="E55D00"/>
        </w:rPr>
        <w:lastRenderedPageBreak/>
        <w:t>3.2. DDoS Mitigation and WAF at the Edge</w:t>
      </w:r>
    </w:p>
    <w:p w14:paraId="40F78BD9" w14:textId="77777777" w:rsidR="001D7196" w:rsidRDefault="00000000">
      <w:pPr>
        <w:pStyle w:val="ListBullet"/>
      </w:pPr>
      <w:r>
        <w:t>Rule: Route all external traffic through edge protection featuring L3/L4 DDoS mitigation and a WAF configured with OWASP Core Rule Sets.</w:t>
      </w:r>
    </w:p>
    <w:p w14:paraId="73BCCAF0" w14:textId="77777777" w:rsidR="001D7196" w:rsidRDefault="00000000">
      <w:pPr>
        <w:pStyle w:val="ListBullet"/>
      </w:pPr>
      <w:r>
        <w:t>Why for Ghaymah: Ensures 99.9% uptime and protects our infrastructure and clients from volumetric and application-layer attacks.</w:t>
      </w:r>
    </w:p>
    <w:p w14:paraId="2CC2417D" w14:textId="77777777" w:rsidR="001D7196" w:rsidRDefault="00000000">
      <w:pPr>
        <w:pStyle w:val="ListBullet"/>
      </w:pPr>
      <w:r>
        <w:t>Source: CISA Shields Up / OWASP Framework</w:t>
      </w:r>
    </w:p>
    <w:p w14:paraId="33572C42" w14:textId="77777777" w:rsidR="001D7196" w:rsidRPr="00953C80" w:rsidRDefault="00000000">
      <w:pPr>
        <w:pStyle w:val="Heading2"/>
        <w:rPr>
          <w:color w:val="E55D00"/>
        </w:rPr>
      </w:pPr>
      <w:r w:rsidRPr="00953C80">
        <w:rPr>
          <w:color w:val="E55D00"/>
        </w:rPr>
        <w:t>3.3. Enforce mTLS &amp; ZTNA</w:t>
      </w:r>
    </w:p>
    <w:p w14:paraId="32499D45" w14:textId="77777777" w:rsidR="001D7196" w:rsidRDefault="00000000">
      <w:pPr>
        <w:pStyle w:val="ListBullet"/>
      </w:pPr>
      <w:r>
        <w:t>Rule: Use mTLS for all inter-service communication. Replace traditional VPNs with Zero Trust Network Access (ZTNA) for administrative access.</w:t>
      </w:r>
    </w:p>
    <w:p w14:paraId="4D2329DF" w14:textId="77777777" w:rsidR="001D7196" w:rsidRDefault="00000000">
      <w:pPr>
        <w:pStyle w:val="ListBullet"/>
      </w:pPr>
      <w:r>
        <w:t>Why for Ghaymah: Secures internal APIs and ensures administrative access is verified continuously at the identity and device level, not just network location.</w:t>
      </w:r>
    </w:p>
    <w:p w14:paraId="590A26A1" w14:textId="77777777" w:rsidR="001D7196" w:rsidRDefault="00000000">
      <w:pPr>
        <w:pStyle w:val="ListBullet"/>
      </w:pPr>
      <w:r>
        <w:t>Source: DoD Zero Trust Architecture / NIST SP 800-52</w:t>
      </w:r>
    </w:p>
    <w:p w14:paraId="7578C76D" w14:textId="77777777" w:rsidR="001D7196" w:rsidRPr="00953C80" w:rsidRDefault="00000000">
      <w:pPr>
        <w:pStyle w:val="Heading1"/>
        <w:rPr>
          <w:color w:val="E55D00"/>
        </w:rPr>
      </w:pPr>
      <w:r w:rsidRPr="00953C80">
        <w:rPr>
          <w:color w:val="E55D00"/>
        </w:rPr>
        <w:t>4. Data Protection &amp; Governance</w:t>
      </w:r>
    </w:p>
    <w:p w14:paraId="358791BE" w14:textId="77777777" w:rsidR="001D7196" w:rsidRPr="00953C80" w:rsidRDefault="00000000">
      <w:pPr>
        <w:pStyle w:val="Heading2"/>
        <w:rPr>
          <w:color w:val="E55D00"/>
        </w:rPr>
      </w:pPr>
      <w:r w:rsidRPr="00953C80">
        <w:rPr>
          <w:color w:val="E55D00"/>
        </w:rPr>
        <w:t>4.1. Envelope Encryption with Customer-Managed Keys (CMK)</w:t>
      </w:r>
    </w:p>
    <w:p w14:paraId="2CEEE44A" w14:textId="77777777" w:rsidR="001D7196" w:rsidRDefault="00000000">
      <w:pPr>
        <w:pStyle w:val="ListBullet"/>
      </w:pPr>
      <w:r>
        <w:t>Rule: Enforce AES-256 encryption at rest. Provide CMK options so clients control their cryptographic keys.</w:t>
      </w:r>
    </w:p>
    <w:p w14:paraId="63B8C28C" w14:textId="77777777" w:rsidR="001D7196" w:rsidRDefault="00000000">
      <w:pPr>
        <w:pStyle w:val="ListBullet"/>
      </w:pPr>
      <w:r>
        <w:t>Why for Ghaymah: Guarantees data sovereignty and privacy. Even compromised Ghaymah admin accounts cannot read client plaintext data.</w:t>
      </w:r>
    </w:p>
    <w:p w14:paraId="420C62A1" w14:textId="77777777" w:rsidR="001D7196" w:rsidRDefault="00000000">
      <w:pPr>
        <w:pStyle w:val="ListBullet"/>
      </w:pPr>
      <w:r>
        <w:t>Source: CSA Cloud Controls Matrix / CIS Control 3</w:t>
      </w:r>
    </w:p>
    <w:p w14:paraId="7030984C" w14:textId="77777777" w:rsidR="001D7196" w:rsidRPr="00953C80" w:rsidRDefault="00000000">
      <w:pPr>
        <w:pStyle w:val="Heading2"/>
        <w:rPr>
          <w:color w:val="E55D00"/>
        </w:rPr>
      </w:pPr>
      <w:r w:rsidRPr="00953C80">
        <w:rPr>
          <w:color w:val="E55D00"/>
        </w:rPr>
        <w:t>4.2. Immutable Backups (WORM) &amp; DR</w:t>
      </w:r>
    </w:p>
    <w:p w14:paraId="134F8556" w14:textId="77777777" w:rsidR="001D7196" w:rsidRDefault="00000000">
      <w:pPr>
        <w:pStyle w:val="ListBullet"/>
      </w:pPr>
      <w:r>
        <w:t>Rule: Store critical backups in Write-Once-Read-Many (WORM) storage with multi-region replication to prevent deletion or alteration.</w:t>
      </w:r>
    </w:p>
    <w:p w14:paraId="6CBAF31B" w14:textId="77777777" w:rsidR="001D7196" w:rsidRDefault="00000000">
      <w:pPr>
        <w:pStyle w:val="ListBullet"/>
      </w:pPr>
      <w:r>
        <w:t>Why for Ghaymah: Ensures total recoverability in the event of a catastrophic ransomware attack targeting cloud backup systems.</w:t>
      </w:r>
    </w:p>
    <w:p w14:paraId="5B0D3BDB" w14:textId="77777777" w:rsidR="001D7196" w:rsidRDefault="00000000">
      <w:pPr>
        <w:pStyle w:val="ListBullet"/>
      </w:pPr>
      <w:r>
        <w:t>Source: CISA Ransomware Readiness Guide / NIST SP 800-34</w:t>
      </w:r>
    </w:p>
    <w:p w14:paraId="25BE33E0" w14:textId="77777777" w:rsidR="001D7196" w:rsidRPr="00953C80" w:rsidRDefault="00000000">
      <w:pPr>
        <w:pStyle w:val="Heading2"/>
        <w:rPr>
          <w:color w:val="E55D00"/>
        </w:rPr>
      </w:pPr>
      <w:r w:rsidRPr="00953C80">
        <w:rPr>
          <w:color w:val="E55D00"/>
        </w:rPr>
        <w:t>4.3. Automated Data Exposure Guardrails (DSPM)</w:t>
      </w:r>
    </w:p>
    <w:p w14:paraId="0CD8E0C2" w14:textId="77777777" w:rsidR="001D7196" w:rsidRDefault="00000000">
      <w:pPr>
        <w:pStyle w:val="ListBullet"/>
      </w:pPr>
      <w:r>
        <w:t>Rule: Deploy automated Data Security Posture Management (DSPM) to enforce public access blocks on object storage and scan for exposed sensitive data.</w:t>
      </w:r>
    </w:p>
    <w:p w14:paraId="773337C8" w14:textId="77777777" w:rsidR="001D7196" w:rsidRDefault="00000000">
      <w:pPr>
        <w:pStyle w:val="ListBullet"/>
      </w:pPr>
      <w:r>
        <w:t>Why for Ghaymah: Misconfigured public buckets are a leading cause of breaches. We must prevent accidental data exposure programmatically.</w:t>
      </w:r>
    </w:p>
    <w:p w14:paraId="02EFF489" w14:textId="77777777" w:rsidR="001D7196" w:rsidRDefault="00000000">
      <w:pPr>
        <w:pStyle w:val="ListBullet"/>
      </w:pPr>
      <w:r>
        <w:t>Source: NIST Privacy Framework</w:t>
      </w:r>
    </w:p>
    <w:p w14:paraId="4A84EF6E" w14:textId="77777777" w:rsidR="001D7196" w:rsidRPr="00953C80" w:rsidRDefault="00000000">
      <w:pPr>
        <w:pStyle w:val="Heading1"/>
        <w:rPr>
          <w:color w:val="E55D00"/>
        </w:rPr>
      </w:pPr>
      <w:r w:rsidRPr="00953C80">
        <w:rPr>
          <w:color w:val="E55D00"/>
        </w:rPr>
        <w:lastRenderedPageBreak/>
        <w:t>5. Application Security (OWASP Top 5 Focus)</w:t>
      </w:r>
    </w:p>
    <w:p w14:paraId="68E229A0" w14:textId="77777777" w:rsidR="001D7196" w:rsidRPr="00953C80" w:rsidRDefault="00000000">
      <w:pPr>
        <w:pStyle w:val="Heading2"/>
        <w:rPr>
          <w:color w:val="E55D00"/>
        </w:rPr>
      </w:pPr>
      <w:r w:rsidRPr="00953C80">
        <w:rPr>
          <w:color w:val="E55D00"/>
        </w:rPr>
        <w:t>5.1. Strict Resource Authorization (Mitigate Broken Access Control - A01)</w:t>
      </w:r>
    </w:p>
    <w:p w14:paraId="4763C7BA" w14:textId="77777777" w:rsidR="001D7196" w:rsidRDefault="00000000">
      <w:pPr>
        <w:pStyle w:val="ListBullet"/>
      </w:pPr>
      <w:r>
        <w:t>Rule: Enforce strict server-side object-level authorization (BOLA) checks on all API requests. Mandate IMDSv2 to prevent SSRF.</w:t>
      </w:r>
    </w:p>
    <w:p w14:paraId="59F1F3ED" w14:textId="77777777" w:rsidR="001D7196" w:rsidRDefault="00000000">
      <w:pPr>
        <w:pStyle w:val="ListBullet"/>
      </w:pPr>
      <w:r>
        <w:t>Why for Ghaymah: Prevents tenants from manipulating API requests to access or modify resources belonging to other tenants.</w:t>
      </w:r>
    </w:p>
    <w:p w14:paraId="32279E45" w14:textId="77777777" w:rsidR="001D7196" w:rsidRDefault="00000000">
      <w:pPr>
        <w:pStyle w:val="ListBullet"/>
      </w:pPr>
      <w:r>
        <w:t>Source: OWASP Top 10 A01 / A10</w:t>
      </w:r>
    </w:p>
    <w:p w14:paraId="34EF885F" w14:textId="77777777" w:rsidR="001D7196" w:rsidRPr="00953C80" w:rsidRDefault="00000000">
      <w:pPr>
        <w:pStyle w:val="Heading2"/>
        <w:rPr>
          <w:color w:val="E55D00"/>
        </w:rPr>
      </w:pPr>
      <w:r w:rsidRPr="00953C80">
        <w:rPr>
          <w:color w:val="E55D00"/>
        </w:rPr>
        <w:t>5.2. Prevent Injection via Parameterized Execution (A03)</w:t>
      </w:r>
    </w:p>
    <w:p w14:paraId="644F6D0A" w14:textId="77777777" w:rsidR="001D7196" w:rsidRDefault="00000000">
      <w:pPr>
        <w:pStyle w:val="ListBullet"/>
      </w:pPr>
      <w:r>
        <w:t>Rule: Utilize parameterized queries/ORMs exclusively. Strictly validate and sanitize all inputs to the Ghaymah CLI and APIs before execution.</w:t>
      </w:r>
    </w:p>
    <w:p w14:paraId="5617123E" w14:textId="77777777" w:rsidR="001D7196" w:rsidRDefault="00000000">
      <w:pPr>
        <w:pStyle w:val="ListBullet"/>
      </w:pPr>
      <w:r>
        <w:t>Why for Ghaymah: Protects the orchestration backend from Remote Code Execution (RCE) via command or SQL injection.</w:t>
      </w:r>
    </w:p>
    <w:p w14:paraId="4E23A6CB" w14:textId="77777777" w:rsidR="001D7196" w:rsidRDefault="00000000">
      <w:pPr>
        <w:pStyle w:val="ListBullet"/>
      </w:pPr>
      <w:r>
        <w:t>Source: OWASP Top 10 A03</w:t>
      </w:r>
    </w:p>
    <w:p w14:paraId="48C2A485" w14:textId="77777777" w:rsidR="001D7196" w:rsidRPr="00953C80" w:rsidRDefault="00000000">
      <w:pPr>
        <w:pStyle w:val="Heading2"/>
        <w:rPr>
          <w:color w:val="E55D00"/>
        </w:rPr>
      </w:pPr>
      <w:r w:rsidRPr="00953C80">
        <w:rPr>
          <w:color w:val="E55D00"/>
        </w:rPr>
        <w:t>5.3. Centralized Logging &amp; SIEM Integration (A09)</w:t>
      </w:r>
    </w:p>
    <w:p w14:paraId="6E2E55EF" w14:textId="77777777" w:rsidR="001D7196" w:rsidRDefault="00000000">
      <w:pPr>
        <w:pStyle w:val="ListBullet"/>
      </w:pPr>
      <w:r>
        <w:t>Rule: Centralize all API, CloudTrail, and Kubernetes audit logs into an immutable SIEM/SOAR platform with automated alerting for anomalies.</w:t>
      </w:r>
    </w:p>
    <w:p w14:paraId="02A3A6F1" w14:textId="77777777" w:rsidR="001D7196" w:rsidRDefault="00000000">
      <w:pPr>
        <w:pStyle w:val="ListBullet"/>
      </w:pPr>
      <w:r>
        <w:t>Why for Ghaymah: Reduces Mean Time To Detect (MTTD) breaches and ensures we have forensically sound data for incident response.</w:t>
      </w:r>
    </w:p>
    <w:p w14:paraId="5B481B6E" w14:textId="77777777" w:rsidR="001D7196" w:rsidRDefault="00000000">
      <w:pPr>
        <w:pStyle w:val="ListBullet"/>
      </w:pPr>
      <w:r>
        <w:t>Source: OWASP Top 10 A09 / CISA Logging Playbook</w:t>
      </w:r>
    </w:p>
    <w:sectPr w:rsidR="001D719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2602635">
    <w:abstractNumId w:val="8"/>
  </w:num>
  <w:num w:numId="2" w16cid:durableId="1007439787">
    <w:abstractNumId w:val="6"/>
  </w:num>
  <w:num w:numId="3" w16cid:durableId="1598756859">
    <w:abstractNumId w:val="5"/>
  </w:num>
  <w:num w:numId="4" w16cid:durableId="118187793">
    <w:abstractNumId w:val="4"/>
  </w:num>
  <w:num w:numId="5" w16cid:durableId="1996956031">
    <w:abstractNumId w:val="7"/>
  </w:num>
  <w:num w:numId="6" w16cid:durableId="1887251162">
    <w:abstractNumId w:val="3"/>
  </w:num>
  <w:num w:numId="7" w16cid:durableId="1466510592">
    <w:abstractNumId w:val="2"/>
  </w:num>
  <w:num w:numId="8" w16cid:durableId="69087713">
    <w:abstractNumId w:val="1"/>
  </w:num>
  <w:num w:numId="9" w16cid:durableId="127751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7196"/>
    <w:rsid w:val="0029639D"/>
    <w:rsid w:val="00326F90"/>
    <w:rsid w:val="00953C80"/>
    <w:rsid w:val="00AA1D8D"/>
    <w:rsid w:val="00B47730"/>
    <w:rsid w:val="00CA1A0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5A0F23"/>
  <w14:defaultImageDpi w14:val="300"/>
  <w15:docId w15:val="{AD1C42CA-34CC-4A57-8FBC-8D9C8943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Student .</cp:lastModifiedBy>
  <cp:revision>3</cp:revision>
  <dcterms:created xsi:type="dcterms:W3CDTF">2013-12-23T23:15:00Z</dcterms:created>
  <dcterms:modified xsi:type="dcterms:W3CDTF">2026-07-27T14:39:00Z</dcterms:modified>
  <cp:category/>
</cp:coreProperties>
</file>