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color w:val="E55D00"/>
        </w:rPr>
        <w:t>Ghaymah Systems</w:t>
      </w:r>
    </w:p>
    <w:p>
      <w:pPr>
        <w:jc w:val="center"/>
      </w:pPr>
      <w:r>
        <w:rPr>
          <w:b/>
          <w:color w:val="E55D00"/>
          <w:sz w:val="28"/>
        </w:rPr>
        <w:t>Attack Simulation (Red/Blue Team) - Incident Response Report</w:t>
      </w:r>
    </w:p>
    <w:p>
      <w:r>
        <w:br/>
      </w:r>
    </w:p>
    <w:p>
      <w:pPr>
        <w:pStyle w:val="Heading1"/>
      </w:pPr>
      <w:r>
        <w:rPr>
          <w:color w:val="E55D00"/>
        </w:rPr>
        <w:t>1. Timeline Analysis</w:t>
      </w:r>
    </w:p>
    <w:p>
      <w:r>
        <w:t>Based on the scenario, the attack kill chain occurred as follows:</w:t>
      </w:r>
    </w:p>
    <w:p>
      <w:pPr>
        <w:pStyle w:val="ListBullet"/>
      </w:pPr>
      <w:r>
        <w:rPr>
          <w:b/>
          <w:color w:val="E55D00"/>
        </w:rPr>
        <w:t xml:space="preserve">Reconnaissance: </w:t>
      </w:r>
      <w:r>
        <w:t>The attacker identifies the API endpoint (e.g., ghaymah.systems/api/login) and gathers Open-Source Intelligence (OSINT) or uses a phishing attack targeting an employee to steal initial credentials.</w:t>
      </w:r>
    </w:p>
    <w:p>
      <w:pPr>
        <w:pStyle w:val="ListBullet"/>
      </w:pPr>
      <w:r>
        <w:rPr>
          <w:b/>
          <w:color w:val="E55D00"/>
        </w:rPr>
        <w:t xml:space="preserve">Attack (Credential Stuffing/Brute Force): </w:t>
      </w:r>
      <w:r>
        <w:t>Using automated tools to try thousands of passwords or previously breached credentials against the API.</w:t>
      </w:r>
    </w:p>
    <w:p>
      <w:pPr>
        <w:pStyle w:val="ListBullet"/>
      </w:pPr>
      <w:r>
        <w:rPr>
          <w:b/>
          <w:color w:val="E55D00"/>
        </w:rPr>
        <w:t xml:space="preserve">Initial Access: </w:t>
      </w:r>
      <w:r>
        <w:t>A successful login attempt occurs, and an access token (JWT or API Token) is issued to the attacker.</w:t>
      </w:r>
    </w:p>
    <w:p>
      <w:pPr>
        <w:pStyle w:val="ListBullet"/>
      </w:pPr>
      <w:r>
        <w:rPr>
          <w:b/>
          <w:color w:val="E55D00"/>
        </w:rPr>
        <w:t xml:space="preserve">Data Exfiltration: </w:t>
      </w:r>
      <w:r>
        <w:t>Using the authorized token to call other API endpoints (e.g., /api/users) and extract sensitive database information.</w:t>
      </w:r>
    </w:p>
    <w:p>
      <w:pPr>
        <w:pStyle w:val="Heading1"/>
      </w:pPr>
      <w:r>
        <w:rPr>
          <w:color w:val="E55D00"/>
        </w:rPr>
        <w:t>2. Incident Response Plan</w:t>
      </w:r>
    </w:p>
    <w:p>
      <w:r>
        <w:t>Based on the NIST SP 800-61 Incident Handling Guide, the following immediate steps must be taken:</w:t>
      </w:r>
    </w:p>
    <w:p>
      <w:pPr>
        <w:pStyle w:val="ListBullet"/>
      </w:pPr>
      <w:r>
        <w:rPr>
          <w:b/>
          <w:color w:val="E55D00"/>
        </w:rPr>
        <w:t xml:space="preserve">Immediate Containment: </w:t>
      </w:r>
      <w:r>
        <w:t>Block the attacker's IP address via the WAF. Revoke all active API tokens for the compromised user account and force an immediate password reset.</w:t>
      </w:r>
    </w:p>
    <w:p>
      <w:pPr>
        <w:pStyle w:val="ListBullet"/>
      </w:pPr>
      <w:r>
        <w:rPr>
          <w:b/>
          <w:color w:val="E55D00"/>
        </w:rPr>
        <w:t xml:space="preserve">Eradication: </w:t>
      </w:r>
      <w:r>
        <w:t>Review system logs to ensure the attacker did not create rogue administrative accounts or plant backdoors.</w:t>
      </w:r>
    </w:p>
    <w:p>
      <w:pPr>
        <w:pStyle w:val="ListBullet"/>
      </w:pPr>
      <w:r>
        <w:rPr>
          <w:b/>
          <w:color w:val="E55D00"/>
        </w:rPr>
        <w:t xml:space="preserve">Recovery: </w:t>
      </w:r>
      <w:r>
        <w:t>Restore services to normal operations after applying additional security controls. Maintain heightened, intensive monitoring for the next 48 hours.</w:t>
      </w:r>
    </w:p>
    <w:p>
      <w:pPr>
        <w:pStyle w:val="Heading1"/>
      </w:pPr>
      <w:r>
        <w:rPr>
          <w:color w:val="E55D00"/>
        </w:rPr>
        <w:t>3. Prevention &amp; Infrastructure Hardening</w:t>
      </w:r>
    </w:p>
    <w:p>
      <w:r>
        <w:t>To secure the Ghaymah infrastructure, the following CISA and NIST standards must be applied:</w:t>
      </w:r>
    </w:p>
    <w:p>
      <w:pPr>
        <w:pStyle w:val="ListBullet"/>
      </w:pPr>
      <w:r>
        <w:rPr>
          <w:b/>
          <w:color w:val="E55D00"/>
        </w:rPr>
        <w:t xml:space="preserve">Network Policies: </w:t>
      </w:r>
      <w:r>
        <w:t>Enforce strict Rate Limiting at the API Gateway (e.g., a maximum of 5 attempts per IP per 15 minutes). Deploy a WAF equipped with OWASP Core Rule Sets to block automated malicious behavior.</w:t>
      </w:r>
    </w:p>
    <w:p>
      <w:pPr>
        <w:pStyle w:val="ListBullet"/>
      </w:pPr>
      <w:r>
        <w:rPr>
          <w:b/>
          <w:color w:val="E55D00"/>
        </w:rPr>
        <w:t xml:space="preserve">Container Security &amp; Micro-segmentation: </w:t>
      </w:r>
      <w:r>
        <w:t>Apply the Zero Trust model and Principle of Least Privilege. Isolate the API container from the database container so direct communication is impossible except through highly restricted, internally authenticated channels.</w:t>
      </w:r>
    </w:p>
    <w:p>
      <w:pPr>
        <w:pStyle w:val="ListBullet"/>
      </w:pPr>
      <w:r>
        <w:rPr>
          <w:b/>
          <w:color w:val="E55D00"/>
        </w:rPr>
        <w:t xml:space="preserve">Security Awareness Training: </w:t>
      </w:r>
      <w:r>
        <w:t>Implement behavior-changing awareness programs compliant with NIST SP 800-50. Train employees to recognize and report phishing attacks to mitigate the initial credential theft risk.</w:t>
      </w:r>
    </w:p>
    <w:p>
      <w:pPr>
        <w:pStyle w:val="Heading1"/>
      </w:pPr>
      <w:r>
        <w:rPr>
          <w:color w:val="E55D00"/>
        </w:rPr>
        <w:t>4. SIEM Early Warning Alert Rule</w:t>
      </w:r>
    </w:p>
    <w:p>
      <w:r>
        <w:t>Design an alert rule logic for the SIEM system (e.g., Splunk or ELK) to catch this early:</w:t>
      </w:r>
    </w:p>
    <w:p>
      <w:r>
        <w:rPr>
          <w:b/>
          <w:color w:val="E55D00"/>
        </w:rPr>
        <w:t xml:space="preserve">Condition: </w:t>
      </w:r>
      <w:r>
        <w:t>Detect more than 5 failed login attempts (HTTP 401 Unauthorized).</w:t>
        <w:br/>
      </w:r>
      <w:r>
        <w:rPr>
          <w:b/>
          <w:color w:val="E55D00"/>
        </w:rPr>
        <w:t xml:space="preserve">Source: </w:t>
      </w:r>
      <w:r>
        <w:t>From the same IP address OR targeting the same username.</w:t>
        <w:br/>
      </w:r>
      <w:r>
        <w:rPr>
          <w:b/>
          <w:color w:val="E55D00"/>
        </w:rPr>
        <w:t xml:space="preserve">Timeframe: </w:t>
      </w:r>
      <w:r>
        <w:t>Within a 1-minute window.</w:t>
        <w:br/>
      </w:r>
      <w:r>
        <w:rPr>
          <w:b/>
          <w:color w:val="E55D00"/>
        </w:rPr>
        <w:t xml:space="preserve">Action: </w:t>
      </w:r>
      <w:r>
        <w:t>Trigger a High-Severity alert to the SOC team and execute an automated temporary block on the offending IP address.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